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6" w:rsidRPr="00B1440C" w:rsidRDefault="000A5E8F" w:rsidP="00347137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B1440C">
        <w:rPr>
          <w:rFonts w:ascii="Arial" w:hAnsi="Arial" w:cs="Arial"/>
          <w:b/>
          <w:sz w:val="28"/>
          <w:szCs w:val="28"/>
        </w:rPr>
        <w:t>Practice Direction No.</w:t>
      </w:r>
      <w:proofErr w:type="gramEnd"/>
      <w:r w:rsidRPr="00B1440C">
        <w:rPr>
          <w:rFonts w:ascii="Arial" w:hAnsi="Arial" w:cs="Arial"/>
          <w:b/>
          <w:sz w:val="28"/>
          <w:szCs w:val="28"/>
        </w:rPr>
        <w:t xml:space="preserve"> </w:t>
      </w:r>
      <w:r w:rsidR="00737DDA" w:rsidRPr="00B1440C">
        <w:rPr>
          <w:rFonts w:ascii="Arial" w:hAnsi="Arial" w:cs="Arial"/>
          <w:b/>
          <w:sz w:val="28"/>
          <w:szCs w:val="28"/>
        </w:rPr>
        <w:t>Y</w:t>
      </w:r>
      <w:r w:rsidR="00CA5E62" w:rsidRPr="00B1440C">
        <w:rPr>
          <w:rFonts w:ascii="Arial" w:hAnsi="Arial" w:cs="Arial"/>
          <w:b/>
          <w:sz w:val="28"/>
          <w:szCs w:val="28"/>
        </w:rPr>
        <w:t xml:space="preserve"> </w:t>
      </w:r>
      <w:r w:rsidRPr="00B1440C">
        <w:rPr>
          <w:rFonts w:ascii="Arial" w:hAnsi="Arial" w:cs="Arial"/>
          <w:b/>
          <w:sz w:val="28"/>
          <w:szCs w:val="28"/>
        </w:rPr>
        <w:t xml:space="preserve">of </w:t>
      </w:r>
      <w:r w:rsidR="004044C8" w:rsidRPr="00B1440C">
        <w:rPr>
          <w:rFonts w:ascii="Arial" w:hAnsi="Arial" w:cs="Arial"/>
          <w:b/>
          <w:sz w:val="28"/>
          <w:szCs w:val="28"/>
        </w:rPr>
        <w:t xml:space="preserve">2015 </w:t>
      </w:r>
      <w:r w:rsidR="00B132B6" w:rsidRPr="00B1440C">
        <w:rPr>
          <w:rFonts w:ascii="Arial" w:eastAsiaTheme="minorHAnsi" w:hAnsi="Arial" w:cs="Arial"/>
          <w:sz w:val="24"/>
          <w:szCs w:val="24"/>
        </w:rPr>
        <w:t>IN THE DUBAI INTERNATIONAL FINANCIAL CENTRE COURTS</w:t>
      </w:r>
      <w:r w:rsidR="00C136CD" w:rsidRPr="00B1440C">
        <w:rPr>
          <w:rFonts w:ascii="Arial" w:eastAsiaTheme="minorHAnsi" w:hAnsi="Arial" w:cs="Arial"/>
          <w:sz w:val="24"/>
          <w:szCs w:val="24"/>
        </w:rPr>
        <w:t xml:space="preserve"> (DIFC COURTS)</w:t>
      </w:r>
    </w:p>
    <w:p w:rsidR="00A75BAF" w:rsidRPr="00B1440C" w:rsidRDefault="00A75BAF" w:rsidP="00347137">
      <w:pPr>
        <w:jc w:val="both"/>
        <w:rPr>
          <w:rFonts w:ascii="Arial" w:eastAsiaTheme="minorHAnsi" w:hAnsi="Arial" w:cs="Arial"/>
          <w:sz w:val="24"/>
          <w:szCs w:val="24"/>
        </w:rPr>
      </w:pPr>
      <w:r w:rsidRPr="005F5821">
        <w:rPr>
          <w:rFonts w:ascii="Arial" w:eastAsiaTheme="minorHAnsi" w:hAnsi="Arial" w:cs="Arial"/>
          <w:caps/>
          <w:sz w:val="24"/>
          <w:szCs w:val="24"/>
        </w:rPr>
        <w:t>Referral of judgment payment</w:t>
      </w:r>
      <w:r w:rsidR="005F5821">
        <w:rPr>
          <w:rFonts w:ascii="Arial" w:eastAsiaTheme="minorHAnsi" w:hAnsi="Arial" w:cs="Arial"/>
          <w:caps/>
          <w:sz w:val="24"/>
          <w:szCs w:val="24"/>
        </w:rPr>
        <w:t xml:space="preserve"> </w:t>
      </w:r>
      <w:r w:rsidRPr="005F5821">
        <w:rPr>
          <w:rFonts w:ascii="Arial" w:eastAsiaTheme="minorHAnsi" w:hAnsi="Arial" w:cs="Arial"/>
          <w:caps/>
          <w:sz w:val="24"/>
          <w:szCs w:val="24"/>
        </w:rPr>
        <w:t>disputes</w:t>
      </w:r>
      <w:r w:rsidRPr="00B1440C">
        <w:rPr>
          <w:rFonts w:ascii="Arial" w:eastAsiaTheme="minorHAnsi" w:hAnsi="Arial" w:cs="Arial"/>
          <w:caps/>
          <w:sz w:val="24"/>
          <w:szCs w:val="24"/>
        </w:rPr>
        <w:t xml:space="preserve"> to arbitration</w:t>
      </w:r>
    </w:p>
    <w:p w:rsidR="004044C8" w:rsidRPr="006A2663" w:rsidRDefault="00737DDA" w:rsidP="00347137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6A2663">
        <w:rPr>
          <w:rFonts w:ascii="Arial" w:eastAsiaTheme="minorHAnsi" w:hAnsi="Arial" w:cs="Arial"/>
          <w:b/>
          <w:sz w:val="24"/>
          <w:szCs w:val="24"/>
        </w:rPr>
        <w:t>Citation</w:t>
      </w:r>
    </w:p>
    <w:p w:rsidR="004044C8" w:rsidRPr="00B1440C" w:rsidRDefault="004044C8" w:rsidP="00347137">
      <w:pPr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t xml:space="preserve">The Practice Direction will come into effect on the date of signature.  It may be cited as Practice Direction </w:t>
      </w:r>
      <w:r w:rsidR="00F25463">
        <w:rPr>
          <w:rFonts w:ascii="Arial" w:eastAsiaTheme="minorHAnsi" w:hAnsi="Arial" w:cs="Arial"/>
          <w:sz w:val="24"/>
          <w:szCs w:val="24"/>
        </w:rPr>
        <w:t>Y</w:t>
      </w:r>
      <w:r w:rsidR="00F25463" w:rsidRPr="00B1440C">
        <w:rPr>
          <w:rFonts w:ascii="Arial" w:eastAsiaTheme="minorHAnsi" w:hAnsi="Arial" w:cs="Arial"/>
          <w:sz w:val="24"/>
          <w:szCs w:val="24"/>
        </w:rPr>
        <w:t xml:space="preserve"> </w:t>
      </w:r>
      <w:r w:rsidRPr="00B1440C">
        <w:rPr>
          <w:rFonts w:ascii="Arial" w:eastAsiaTheme="minorHAnsi" w:hAnsi="Arial" w:cs="Arial"/>
          <w:sz w:val="24"/>
          <w:szCs w:val="24"/>
        </w:rPr>
        <w:t>of 2014 – Referral of Judgment Payment Dispute</w:t>
      </w:r>
      <w:r w:rsidR="00C720B2" w:rsidRPr="00B1440C">
        <w:rPr>
          <w:rFonts w:ascii="Arial" w:eastAsiaTheme="minorHAnsi" w:hAnsi="Arial" w:cs="Arial"/>
          <w:sz w:val="24"/>
          <w:szCs w:val="24"/>
        </w:rPr>
        <w:t>s</w:t>
      </w:r>
      <w:r w:rsidRPr="00B1440C">
        <w:rPr>
          <w:rFonts w:ascii="Arial" w:eastAsiaTheme="minorHAnsi" w:hAnsi="Arial" w:cs="Arial"/>
          <w:sz w:val="24"/>
          <w:szCs w:val="24"/>
        </w:rPr>
        <w:t xml:space="preserve"> to Arbitration – an</w:t>
      </w:r>
      <w:r w:rsidR="00A83456" w:rsidRPr="00B1440C">
        <w:rPr>
          <w:rFonts w:ascii="Arial" w:eastAsiaTheme="minorHAnsi" w:hAnsi="Arial" w:cs="Arial"/>
          <w:sz w:val="24"/>
          <w:szCs w:val="24"/>
        </w:rPr>
        <w:t>d</w:t>
      </w:r>
      <w:r w:rsidRPr="00B1440C">
        <w:rPr>
          <w:rFonts w:ascii="Arial" w:eastAsiaTheme="minorHAnsi" w:hAnsi="Arial" w:cs="Arial"/>
          <w:sz w:val="24"/>
          <w:szCs w:val="24"/>
        </w:rPr>
        <w:t xml:space="preserve"> may be abbreviated to PD </w:t>
      </w:r>
      <w:bookmarkStart w:id="0" w:name="_GoBack"/>
      <w:r w:rsidR="00F25463">
        <w:rPr>
          <w:rFonts w:ascii="Arial" w:eastAsiaTheme="minorHAnsi" w:hAnsi="Arial" w:cs="Arial"/>
          <w:sz w:val="24"/>
          <w:szCs w:val="24"/>
        </w:rPr>
        <w:t>Y</w:t>
      </w:r>
      <w:bookmarkEnd w:id="0"/>
      <w:r w:rsidRPr="00B1440C">
        <w:rPr>
          <w:rFonts w:ascii="Arial" w:eastAsiaTheme="minorHAnsi" w:hAnsi="Arial" w:cs="Arial"/>
          <w:sz w:val="24"/>
          <w:szCs w:val="24"/>
        </w:rPr>
        <w:t>/2014</w:t>
      </w:r>
    </w:p>
    <w:p w:rsidR="00FE16E6" w:rsidRPr="00B1440C" w:rsidRDefault="00FE16E6" w:rsidP="00347137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B1440C">
        <w:rPr>
          <w:rFonts w:ascii="Arial" w:eastAsiaTheme="minorHAnsi" w:hAnsi="Arial" w:cs="Arial"/>
          <w:b/>
          <w:sz w:val="24"/>
          <w:szCs w:val="24"/>
        </w:rPr>
        <w:t xml:space="preserve">Referral to </w:t>
      </w:r>
      <w:r w:rsidR="006E1FDE" w:rsidRPr="00B1440C">
        <w:rPr>
          <w:rFonts w:ascii="Arial" w:eastAsiaTheme="minorHAnsi" w:hAnsi="Arial" w:cs="Arial"/>
          <w:b/>
          <w:sz w:val="24"/>
          <w:szCs w:val="24"/>
        </w:rPr>
        <w:t xml:space="preserve">DIFC-LCIA Arbitration of any </w:t>
      </w:r>
      <w:r w:rsidR="00A75BAF" w:rsidRPr="00B1440C">
        <w:rPr>
          <w:rFonts w:ascii="Arial" w:eastAsiaTheme="minorHAnsi" w:hAnsi="Arial" w:cs="Arial"/>
          <w:b/>
          <w:sz w:val="24"/>
          <w:szCs w:val="24"/>
        </w:rPr>
        <w:t xml:space="preserve">payment </w:t>
      </w:r>
      <w:r w:rsidR="006E1FDE" w:rsidRPr="00B1440C">
        <w:rPr>
          <w:rFonts w:ascii="Arial" w:eastAsiaTheme="minorHAnsi" w:hAnsi="Arial" w:cs="Arial"/>
          <w:b/>
          <w:sz w:val="24"/>
          <w:szCs w:val="24"/>
        </w:rPr>
        <w:t>dispute</w:t>
      </w:r>
    </w:p>
    <w:p w:rsidR="006E1FDE" w:rsidRPr="00B1440C" w:rsidRDefault="00A83456" w:rsidP="00347137">
      <w:pPr>
        <w:jc w:val="both"/>
        <w:rPr>
          <w:rFonts w:ascii="Arial" w:eastAsiaTheme="minorHAnsi" w:hAnsi="Arial" w:cs="Arial"/>
          <w:sz w:val="24"/>
          <w:szCs w:val="24"/>
        </w:rPr>
      </w:pPr>
      <w:r w:rsidRPr="005F5821">
        <w:rPr>
          <w:rFonts w:ascii="Arial" w:eastAsiaTheme="minorHAnsi" w:hAnsi="Arial" w:cs="Arial"/>
          <w:sz w:val="24"/>
          <w:szCs w:val="24"/>
        </w:rPr>
        <w:t>If p</w:t>
      </w:r>
      <w:r w:rsidR="004044C8" w:rsidRPr="005F5821">
        <w:rPr>
          <w:rFonts w:ascii="Arial" w:eastAsiaTheme="minorHAnsi" w:hAnsi="Arial" w:cs="Arial"/>
          <w:sz w:val="24"/>
          <w:szCs w:val="24"/>
        </w:rPr>
        <w:t>arties who have submitted (or have agreed to submit</w:t>
      </w:r>
      <w:r w:rsidR="004044C8" w:rsidRPr="005F5821">
        <w:rPr>
          <w:rFonts w:ascii="Arial" w:eastAsiaTheme="minorHAnsi" w:hAnsi="Arial" w:cs="Arial"/>
          <w:color w:val="000000" w:themeColor="text1"/>
          <w:sz w:val="24"/>
          <w:szCs w:val="24"/>
        </w:rPr>
        <w:t>) to</w:t>
      </w:r>
      <w:r w:rsidR="001E7EF4" w:rsidRPr="005F582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="00E205C2" w:rsidRPr="00F25463">
        <w:rPr>
          <w:rFonts w:ascii="Arial" w:eastAsiaTheme="minorHAnsi" w:hAnsi="Arial" w:cs="Arial"/>
          <w:color w:val="000000" w:themeColor="text1"/>
          <w:sz w:val="24"/>
          <w:szCs w:val="24"/>
        </w:rPr>
        <w:t>or are bound by</w:t>
      </w:r>
      <w:r w:rsidR="001E7EF4" w:rsidRPr="00F25463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4044C8" w:rsidRPr="005F582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6E1FDE" w:rsidRPr="005F5821">
        <w:rPr>
          <w:rFonts w:ascii="Arial" w:eastAsiaTheme="minorHAnsi" w:hAnsi="Arial" w:cs="Arial"/>
          <w:color w:val="000000" w:themeColor="text1"/>
          <w:sz w:val="24"/>
          <w:szCs w:val="24"/>
        </w:rPr>
        <w:t>th</w:t>
      </w:r>
      <w:r w:rsidR="006E1FDE" w:rsidRPr="00E205C2">
        <w:rPr>
          <w:rFonts w:ascii="Arial" w:eastAsiaTheme="minorHAnsi" w:hAnsi="Arial" w:cs="Arial"/>
          <w:color w:val="000000" w:themeColor="text1"/>
          <w:sz w:val="24"/>
          <w:szCs w:val="24"/>
        </w:rPr>
        <w:t>e</w:t>
      </w:r>
      <w:r w:rsidR="006E1FDE" w:rsidRPr="00B1440C">
        <w:rPr>
          <w:rFonts w:ascii="Arial" w:eastAsiaTheme="minorHAnsi" w:hAnsi="Arial" w:cs="Arial"/>
          <w:sz w:val="24"/>
          <w:szCs w:val="24"/>
        </w:rPr>
        <w:t xml:space="preserve"> jurisdiction of the DIFC Courts</w:t>
      </w:r>
      <w:r w:rsidR="00E304AA" w:rsidRPr="00B1440C">
        <w:rPr>
          <w:rFonts w:ascii="Arial" w:eastAsiaTheme="minorHAnsi" w:hAnsi="Arial" w:cs="Arial"/>
          <w:sz w:val="24"/>
          <w:szCs w:val="24"/>
        </w:rPr>
        <w:t xml:space="preserve"> wish further to agree that any dispute arising out of or in connection with the </w:t>
      </w:r>
      <w:r w:rsidR="00A75BAF" w:rsidRPr="00B1440C">
        <w:rPr>
          <w:rFonts w:ascii="Arial" w:eastAsiaTheme="minorHAnsi" w:hAnsi="Arial" w:cs="Arial"/>
          <w:sz w:val="24"/>
          <w:szCs w:val="24"/>
        </w:rPr>
        <w:t xml:space="preserve">non-payment </w:t>
      </w:r>
      <w:r w:rsidR="00E304AA" w:rsidRPr="00B1440C">
        <w:rPr>
          <w:rFonts w:ascii="Arial" w:eastAsiaTheme="minorHAnsi" w:hAnsi="Arial" w:cs="Arial"/>
          <w:sz w:val="24"/>
          <w:szCs w:val="24"/>
        </w:rPr>
        <w:t xml:space="preserve">of any </w:t>
      </w:r>
      <w:r w:rsidR="00A75BAF" w:rsidRPr="00B1440C">
        <w:rPr>
          <w:rFonts w:ascii="Arial" w:eastAsiaTheme="minorHAnsi" w:hAnsi="Arial" w:cs="Arial"/>
          <w:sz w:val="24"/>
          <w:szCs w:val="24"/>
        </w:rPr>
        <w:t xml:space="preserve">money </w:t>
      </w:r>
      <w:r w:rsidR="00E304AA" w:rsidRPr="00B1440C">
        <w:rPr>
          <w:rFonts w:ascii="Arial" w:eastAsiaTheme="minorHAnsi" w:hAnsi="Arial" w:cs="Arial"/>
          <w:sz w:val="24"/>
          <w:szCs w:val="24"/>
        </w:rPr>
        <w:t xml:space="preserve">judgment given by the DIFC Courts, </w:t>
      </w:r>
      <w:r w:rsidR="006F6571" w:rsidRPr="00B1440C">
        <w:rPr>
          <w:rFonts w:ascii="Arial" w:eastAsiaTheme="minorHAnsi" w:hAnsi="Arial" w:cs="Arial"/>
          <w:sz w:val="24"/>
          <w:szCs w:val="24"/>
        </w:rPr>
        <w:t xml:space="preserve">shall be referred to and </w:t>
      </w:r>
      <w:r w:rsidR="00E91119" w:rsidRPr="00B1440C">
        <w:rPr>
          <w:rFonts w:ascii="Arial" w:eastAsiaTheme="minorHAnsi" w:hAnsi="Arial" w:cs="Arial"/>
          <w:sz w:val="24"/>
          <w:szCs w:val="24"/>
        </w:rPr>
        <w:t xml:space="preserve">be </w:t>
      </w:r>
      <w:r w:rsidR="006F6571" w:rsidRPr="00B1440C">
        <w:rPr>
          <w:rFonts w:ascii="Arial" w:eastAsiaTheme="minorHAnsi" w:hAnsi="Arial" w:cs="Arial"/>
          <w:sz w:val="24"/>
          <w:szCs w:val="24"/>
        </w:rPr>
        <w:t>finally resolved by arbitration under the Arbitration Rules of the DIFC-LCIA Arbit</w:t>
      </w:r>
      <w:r w:rsidR="00764DA1" w:rsidRPr="00B1440C">
        <w:rPr>
          <w:rFonts w:ascii="Arial" w:eastAsiaTheme="minorHAnsi" w:hAnsi="Arial" w:cs="Arial"/>
          <w:sz w:val="24"/>
          <w:szCs w:val="24"/>
        </w:rPr>
        <w:t>rat</w:t>
      </w:r>
      <w:r w:rsidR="006F6571" w:rsidRPr="00B1440C">
        <w:rPr>
          <w:rFonts w:ascii="Arial" w:eastAsiaTheme="minorHAnsi" w:hAnsi="Arial" w:cs="Arial"/>
          <w:sz w:val="24"/>
          <w:szCs w:val="24"/>
        </w:rPr>
        <w:t>ion Centre</w:t>
      </w:r>
      <w:r w:rsidR="00FF0FEF">
        <w:rPr>
          <w:rFonts w:ascii="Arial" w:eastAsiaTheme="minorHAnsi" w:hAnsi="Arial" w:cs="Arial"/>
          <w:sz w:val="24"/>
          <w:szCs w:val="24"/>
        </w:rPr>
        <w:t>,</w:t>
      </w:r>
      <w:r w:rsidR="005F5821">
        <w:rPr>
          <w:rFonts w:ascii="Arial" w:eastAsiaTheme="minorHAnsi" w:hAnsi="Arial" w:cs="Arial"/>
          <w:sz w:val="24"/>
          <w:szCs w:val="24"/>
        </w:rPr>
        <w:t xml:space="preserve"> </w:t>
      </w:r>
      <w:r w:rsidR="004A69BB">
        <w:rPr>
          <w:rFonts w:ascii="Arial" w:eastAsiaTheme="minorHAnsi" w:hAnsi="Arial" w:cs="Arial"/>
          <w:sz w:val="24"/>
          <w:szCs w:val="24"/>
        </w:rPr>
        <w:t>they</w:t>
      </w:r>
      <w:r w:rsidR="004A69BB" w:rsidRPr="00B1440C">
        <w:rPr>
          <w:rFonts w:ascii="Arial" w:eastAsiaTheme="minorHAnsi" w:hAnsi="Arial" w:cs="Arial"/>
          <w:sz w:val="24"/>
          <w:szCs w:val="24"/>
        </w:rPr>
        <w:t xml:space="preserve"> </w:t>
      </w:r>
      <w:r w:rsidR="00C136CD" w:rsidRPr="00B1440C">
        <w:rPr>
          <w:rFonts w:ascii="Arial" w:eastAsiaTheme="minorHAnsi" w:hAnsi="Arial" w:cs="Arial"/>
          <w:sz w:val="24"/>
          <w:szCs w:val="24"/>
        </w:rPr>
        <w:t xml:space="preserve">may </w:t>
      </w:r>
      <w:r w:rsidR="004044C8" w:rsidRPr="00B1440C">
        <w:rPr>
          <w:rFonts w:ascii="Arial" w:eastAsiaTheme="minorHAnsi" w:hAnsi="Arial" w:cs="Arial"/>
          <w:sz w:val="24"/>
          <w:szCs w:val="24"/>
        </w:rPr>
        <w:t>adopt</w:t>
      </w:r>
      <w:r w:rsidR="00C136CD" w:rsidRPr="00B1440C">
        <w:rPr>
          <w:rFonts w:ascii="Arial" w:eastAsiaTheme="minorHAnsi" w:hAnsi="Arial" w:cs="Arial"/>
          <w:sz w:val="24"/>
          <w:szCs w:val="24"/>
        </w:rPr>
        <w:t xml:space="preserve"> </w:t>
      </w:r>
      <w:r w:rsidR="006A07C3" w:rsidRPr="00B1440C">
        <w:rPr>
          <w:rFonts w:ascii="Arial" w:eastAsiaTheme="minorHAnsi" w:hAnsi="Arial" w:cs="Arial"/>
          <w:sz w:val="24"/>
          <w:szCs w:val="24"/>
        </w:rPr>
        <w:t xml:space="preserve">an arbitration clause in the terms </w:t>
      </w:r>
      <w:r w:rsidR="00EA539E" w:rsidRPr="00B1440C">
        <w:rPr>
          <w:rFonts w:ascii="Arial" w:eastAsiaTheme="minorHAnsi" w:hAnsi="Arial" w:cs="Arial"/>
          <w:sz w:val="24"/>
          <w:szCs w:val="24"/>
        </w:rPr>
        <w:t>of the recommended arbitration</w:t>
      </w:r>
      <w:r w:rsidR="00E91119" w:rsidRPr="00B1440C">
        <w:rPr>
          <w:rFonts w:ascii="Arial" w:eastAsiaTheme="minorHAnsi" w:hAnsi="Arial" w:cs="Arial"/>
          <w:sz w:val="24"/>
          <w:szCs w:val="24"/>
        </w:rPr>
        <w:t xml:space="preserve"> </w:t>
      </w:r>
      <w:r w:rsidR="00EA539E" w:rsidRPr="00B1440C">
        <w:rPr>
          <w:rFonts w:ascii="Arial" w:eastAsiaTheme="minorHAnsi" w:hAnsi="Arial" w:cs="Arial"/>
          <w:sz w:val="24"/>
          <w:szCs w:val="24"/>
        </w:rPr>
        <w:t xml:space="preserve">agreement </w:t>
      </w:r>
      <w:r w:rsidR="00AB2E43" w:rsidRPr="00B1440C">
        <w:rPr>
          <w:rFonts w:ascii="Arial" w:eastAsiaTheme="minorHAnsi" w:hAnsi="Arial" w:cs="Arial"/>
          <w:sz w:val="24"/>
          <w:szCs w:val="24"/>
        </w:rPr>
        <w:t>c</w:t>
      </w:r>
      <w:r w:rsidR="00E34D65" w:rsidRPr="00B1440C">
        <w:rPr>
          <w:rFonts w:ascii="Arial" w:eastAsiaTheme="minorHAnsi" w:hAnsi="Arial" w:cs="Arial"/>
          <w:sz w:val="24"/>
          <w:szCs w:val="24"/>
        </w:rPr>
        <w:t xml:space="preserve">lause set out below by reference to the Referral Criteria </w:t>
      </w:r>
      <w:r w:rsidR="00197F18">
        <w:rPr>
          <w:rFonts w:ascii="Arial" w:eastAsiaTheme="minorHAnsi" w:hAnsi="Arial" w:cs="Arial"/>
          <w:sz w:val="24"/>
          <w:szCs w:val="24"/>
        </w:rPr>
        <w:t xml:space="preserve">as </w:t>
      </w:r>
      <w:r w:rsidR="00C136CD" w:rsidRPr="00B1440C">
        <w:rPr>
          <w:rFonts w:ascii="Arial" w:eastAsiaTheme="minorHAnsi" w:hAnsi="Arial" w:cs="Arial"/>
          <w:sz w:val="24"/>
          <w:szCs w:val="24"/>
        </w:rPr>
        <w:t>defined</w:t>
      </w:r>
      <w:r w:rsidR="00197F18">
        <w:rPr>
          <w:rFonts w:ascii="Arial" w:eastAsiaTheme="minorHAnsi" w:hAnsi="Arial" w:cs="Arial"/>
          <w:sz w:val="24"/>
          <w:szCs w:val="24"/>
        </w:rPr>
        <w:t>.</w:t>
      </w:r>
    </w:p>
    <w:p w:rsidR="00E304AA" w:rsidRPr="00B1440C" w:rsidRDefault="00E86E48" w:rsidP="00347137">
      <w:pPr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t>The</w:t>
      </w:r>
      <w:r w:rsidR="00E17D20" w:rsidRPr="00B1440C">
        <w:rPr>
          <w:rFonts w:ascii="Arial" w:eastAsiaTheme="minorHAnsi" w:hAnsi="Arial" w:cs="Arial"/>
          <w:sz w:val="24"/>
          <w:szCs w:val="24"/>
        </w:rPr>
        <w:t xml:space="preserve"> Referral Criteria</w:t>
      </w:r>
    </w:p>
    <w:p w:rsidR="00E17D20" w:rsidRPr="00B1440C" w:rsidRDefault="00A7599B" w:rsidP="00347137">
      <w:pPr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t>In the Referral Criteria, the following terms have the following meanings:</w:t>
      </w:r>
    </w:p>
    <w:p w:rsidR="00C136CD" w:rsidRPr="00B1440C" w:rsidRDefault="00912476" w:rsidP="00347137">
      <w:pPr>
        <w:ind w:left="2410" w:hanging="2410"/>
        <w:jc w:val="both"/>
        <w:rPr>
          <w:rFonts w:ascii="Arial" w:hAnsi="Arial"/>
          <w:sz w:val="24"/>
          <w:lang w:eastAsia="en-GB"/>
        </w:rPr>
      </w:pPr>
      <w:r w:rsidRPr="005F5821">
        <w:rPr>
          <w:rFonts w:ascii="Arial" w:hAnsi="Arial"/>
          <w:sz w:val="24"/>
          <w:lang w:eastAsia="en-GB"/>
        </w:rPr>
        <w:t>‘</w:t>
      </w:r>
      <w:r w:rsidR="00881D38" w:rsidRPr="005F5821">
        <w:rPr>
          <w:rFonts w:ascii="Arial" w:hAnsi="Arial"/>
          <w:sz w:val="24"/>
          <w:lang w:eastAsia="en-GB"/>
        </w:rPr>
        <w:t xml:space="preserve">payment </w:t>
      </w:r>
      <w:r w:rsidRPr="005F5821">
        <w:rPr>
          <w:rFonts w:ascii="Arial" w:hAnsi="Arial"/>
          <w:sz w:val="24"/>
          <w:lang w:eastAsia="en-GB"/>
        </w:rPr>
        <w:t xml:space="preserve">dispute’ </w:t>
      </w:r>
      <w:r w:rsidR="00A7599B" w:rsidRPr="005F5821">
        <w:rPr>
          <w:rFonts w:ascii="Arial" w:hAnsi="Arial"/>
          <w:sz w:val="24"/>
          <w:lang w:eastAsia="en-GB"/>
        </w:rPr>
        <w:tab/>
      </w:r>
      <w:r w:rsidR="00197F18" w:rsidRPr="005F5821">
        <w:rPr>
          <w:rFonts w:ascii="Arial" w:hAnsi="Arial"/>
          <w:sz w:val="24"/>
          <w:lang w:eastAsia="en-GB"/>
        </w:rPr>
        <w:t xml:space="preserve">any </w:t>
      </w:r>
      <w:r w:rsidR="00BF7778" w:rsidRPr="005F5821">
        <w:rPr>
          <w:rFonts w:ascii="Arial" w:hAnsi="Arial"/>
          <w:sz w:val="24"/>
          <w:lang w:eastAsia="en-GB"/>
        </w:rPr>
        <w:t>dispute</w:t>
      </w:r>
      <w:r w:rsidR="002C4504" w:rsidRPr="005F5821">
        <w:rPr>
          <w:rFonts w:ascii="Arial" w:hAnsi="Arial"/>
          <w:sz w:val="24"/>
          <w:lang w:eastAsia="en-GB"/>
        </w:rPr>
        <w:t>, difference,</w:t>
      </w:r>
      <w:r w:rsidR="00BF7778" w:rsidRPr="005F5821">
        <w:rPr>
          <w:rFonts w:ascii="Arial" w:hAnsi="Arial"/>
          <w:sz w:val="24"/>
          <w:lang w:eastAsia="en-GB"/>
        </w:rPr>
        <w:t xml:space="preserve"> </w:t>
      </w:r>
      <w:r w:rsidR="00197F18" w:rsidRPr="005F5821">
        <w:rPr>
          <w:rFonts w:ascii="Arial" w:hAnsi="Arial"/>
          <w:sz w:val="24"/>
          <w:lang w:eastAsia="en-GB"/>
        </w:rPr>
        <w:t xml:space="preserve">controversy or claim </w:t>
      </w:r>
      <w:r w:rsidR="00BF7778" w:rsidRPr="005F5821">
        <w:rPr>
          <w:rFonts w:ascii="Arial" w:hAnsi="Arial"/>
          <w:sz w:val="24"/>
          <w:lang w:eastAsia="en-GB"/>
        </w:rPr>
        <w:t>between a judgment creditor and judgment debtor</w:t>
      </w:r>
      <w:r w:rsidR="00405EC2" w:rsidRPr="005F5821">
        <w:rPr>
          <w:rFonts w:ascii="Arial" w:hAnsi="Arial"/>
          <w:sz w:val="24"/>
          <w:lang w:eastAsia="en-GB"/>
        </w:rPr>
        <w:t xml:space="preserve"> with respect to </w:t>
      </w:r>
      <w:r w:rsidR="00920049" w:rsidRPr="005F5821">
        <w:rPr>
          <w:rFonts w:ascii="Arial" w:hAnsi="Arial"/>
          <w:sz w:val="24"/>
          <w:lang w:eastAsia="en-GB"/>
        </w:rPr>
        <w:t xml:space="preserve">any </w:t>
      </w:r>
      <w:r w:rsidR="00405EC2" w:rsidRPr="005F5821">
        <w:rPr>
          <w:rFonts w:ascii="Arial" w:hAnsi="Arial"/>
          <w:sz w:val="24"/>
          <w:lang w:eastAsia="en-GB"/>
        </w:rPr>
        <w:t xml:space="preserve">money </w:t>
      </w:r>
      <w:r w:rsidR="00A25FAF" w:rsidRPr="005F5821">
        <w:rPr>
          <w:rFonts w:ascii="Arial" w:hAnsi="Arial"/>
          <w:sz w:val="24"/>
          <w:lang w:eastAsia="en-GB"/>
        </w:rPr>
        <w:t>(including</w:t>
      </w:r>
      <w:r w:rsidR="00A837EF" w:rsidRPr="005F5821">
        <w:rPr>
          <w:rFonts w:ascii="Arial" w:hAnsi="Arial"/>
          <w:sz w:val="24"/>
          <w:lang w:eastAsia="en-GB"/>
        </w:rPr>
        <w:t xml:space="preserve"> interest and</w:t>
      </w:r>
      <w:r w:rsidR="00A25FAF" w:rsidRPr="005F5821">
        <w:rPr>
          <w:rFonts w:ascii="Arial" w:hAnsi="Arial"/>
          <w:sz w:val="24"/>
          <w:lang w:eastAsia="en-GB"/>
        </w:rPr>
        <w:t xml:space="preserve"> costs)</w:t>
      </w:r>
      <w:r w:rsidR="00405EC2" w:rsidRPr="005F5821">
        <w:rPr>
          <w:rFonts w:ascii="Arial" w:hAnsi="Arial"/>
          <w:sz w:val="24"/>
          <w:lang w:eastAsia="en-GB"/>
        </w:rPr>
        <w:t xml:space="preserve"> due under a</w:t>
      </w:r>
      <w:r w:rsidR="009378E3" w:rsidRPr="005F5821">
        <w:rPr>
          <w:rFonts w:ascii="Arial" w:hAnsi="Arial"/>
          <w:sz w:val="24"/>
          <w:lang w:eastAsia="en-GB"/>
        </w:rPr>
        <w:t>n unsatisfied</w:t>
      </w:r>
      <w:r w:rsidR="00405EC2" w:rsidRPr="005F5821">
        <w:rPr>
          <w:rFonts w:ascii="Arial" w:hAnsi="Arial"/>
          <w:sz w:val="24"/>
          <w:lang w:eastAsia="en-GB"/>
        </w:rPr>
        <w:t xml:space="preserve"> judgment, including</w:t>
      </w:r>
    </w:p>
    <w:p w:rsidR="00C136CD" w:rsidRPr="005F5821" w:rsidRDefault="00405EC2" w:rsidP="00C136CD">
      <w:pPr>
        <w:pStyle w:val="ListParagraph"/>
        <w:numPr>
          <w:ilvl w:val="0"/>
          <w:numId w:val="8"/>
        </w:numPr>
        <w:jc w:val="both"/>
        <w:rPr>
          <w:rFonts w:ascii="Arial" w:hAnsi="Arial"/>
          <w:sz w:val="24"/>
          <w:lang w:eastAsia="en-GB"/>
        </w:rPr>
      </w:pPr>
      <w:r w:rsidRPr="005F5821">
        <w:rPr>
          <w:rFonts w:ascii="Arial" w:hAnsi="Arial"/>
          <w:sz w:val="24"/>
          <w:lang w:eastAsia="en-GB"/>
        </w:rPr>
        <w:t xml:space="preserve">a failure to pay on demand </w:t>
      </w:r>
      <w:r w:rsidR="00A04FA7" w:rsidRPr="005F5821">
        <w:rPr>
          <w:rFonts w:ascii="Arial" w:hAnsi="Arial"/>
          <w:sz w:val="24"/>
          <w:lang w:eastAsia="en-GB"/>
        </w:rPr>
        <w:t xml:space="preserve">any </w:t>
      </w:r>
      <w:r w:rsidRPr="005F5821">
        <w:rPr>
          <w:rFonts w:ascii="Arial" w:hAnsi="Arial"/>
          <w:sz w:val="24"/>
          <w:lang w:eastAsia="en-GB"/>
        </w:rPr>
        <w:t xml:space="preserve">sum of money </w:t>
      </w:r>
      <w:r w:rsidR="00EA539E" w:rsidRPr="005F5821">
        <w:rPr>
          <w:rFonts w:ascii="Arial" w:hAnsi="Arial"/>
          <w:sz w:val="24"/>
          <w:lang w:eastAsia="en-GB"/>
        </w:rPr>
        <w:t xml:space="preserve">remaining </w:t>
      </w:r>
      <w:r w:rsidRPr="005F5821">
        <w:rPr>
          <w:rFonts w:ascii="Arial" w:hAnsi="Arial"/>
          <w:sz w:val="24"/>
          <w:lang w:eastAsia="en-GB"/>
        </w:rPr>
        <w:t xml:space="preserve">due under </w:t>
      </w:r>
      <w:r w:rsidR="00EA539E" w:rsidRPr="005F5821">
        <w:rPr>
          <w:rFonts w:ascii="Arial" w:hAnsi="Arial"/>
          <w:sz w:val="24"/>
          <w:lang w:eastAsia="en-GB"/>
        </w:rPr>
        <w:t>a</w:t>
      </w:r>
      <w:r w:rsidR="00E91119" w:rsidRPr="005F5821">
        <w:rPr>
          <w:rFonts w:ascii="Arial" w:hAnsi="Arial"/>
          <w:sz w:val="24"/>
          <w:lang w:eastAsia="en-GB"/>
        </w:rPr>
        <w:t xml:space="preserve"> </w:t>
      </w:r>
      <w:r w:rsidRPr="005F5821">
        <w:rPr>
          <w:rFonts w:ascii="Arial" w:hAnsi="Arial"/>
          <w:sz w:val="24"/>
          <w:lang w:eastAsia="en-GB"/>
        </w:rPr>
        <w:t>judgment on or after the date on which that sum becomes due under Rule 36.</w:t>
      </w:r>
      <w:r w:rsidR="00A71957" w:rsidRPr="005F5821">
        <w:rPr>
          <w:rFonts w:ascii="Arial" w:hAnsi="Arial"/>
          <w:sz w:val="24"/>
          <w:lang w:eastAsia="en-GB"/>
        </w:rPr>
        <w:t>34</w:t>
      </w:r>
      <w:r w:rsidRPr="005F5821">
        <w:rPr>
          <w:rFonts w:ascii="Arial" w:hAnsi="Arial"/>
          <w:sz w:val="24"/>
          <w:lang w:eastAsia="en-GB"/>
        </w:rPr>
        <w:t>;</w:t>
      </w:r>
      <w:r w:rsidR="00A66BBB" w:rsidRPr="005F5821">
        <w:rPr>
          <w:rFonts w:ascii="Arial" w:hAnsi="Arial"/>
          <w:sz w:val="24"/>
          <w:lang w:eastAsia="en-GB"/>
        </w:rPr>
        <w:t xml:space="preserve"> and</w:t>
      </w:r>
      <w:r w:rsidR="002E759F" w:rsidRPr="005F5821">
        <w:rPr>
          <w:rFonts w:ascii="Arial" w:hAnsi="Arial"/>
          <w:sz w:val="24"/>
          <w:lang w:eastAsia="en-GB"/>
        </w:rPr>
        <w:t>/or</w:t>
      </w:r>
      <w:r w:rsidR="00A66BBB" w:rsidRPr="005F5821">
        <w:rPr>
          <w:rFonts w:ascii="Arial" w:hAnsi="Arial"/>
          <w:sz w:val="24"/>
          <w:lang w:eastAsia="en-GB"/>
        </w:rPr>
        <w:t xml:space="preserve"> </w:t>
      </w:r>
    </w:p>
    <w:p w:rsidR="00C136CD" w:rsidRPr="005F5821" w:rsidRDefault="00C136CD" w:rsidP="00C136CD">
      <w:pPr>
        <w:pStyle w:val="ListParagraph"/>
        <w:ind w:left="3130"/>
        <w:jc w:val="both"/>
        <w:rPr>
          <w:rFonts w:ascii="Arial" w:hAnsi="Arial"/>
          <w:sz w:val="24"/>
          <w:lang w:eastAsia="en-GB"/>
        </w:rPr>
      </w:pPr>
    </w:p>
    <w:p w:rsidR="00881D38" w:rsidRPr="005F5821" w:rsidRDefault="00A66BBB" w:rsidP="00C136CD">
      <w:pPr>
        <w:pStyle w:val="ListParagraph"/>
        <w:numPr>
          <w:ilvl w:val="0"/>
          <w:numId w:val="8"/>
        </w:numPr>
        <w:jc w:val="both"/>
        <w:rPr>
          <w:rFonts w:ascii="Arial" w:hAnsi="Arial"/>
          <w:sz w:val="24"/>
          <w:lang w:eastAsia="en-GB"/>
        </w:rPr>
      </w:pPr>
      <w:r w:rsidRPr="005F5821">
        <w:rPr>
          <w:rFonts w:ascii="Arial" w:hAnsi="Arial"/>
          <w:sz w:val="24"/>
          <w:lang w:eastAsia="en-GB"/>
        </w:rPr>
        <w:t xml:space="preserve">the </w:t>
      </w:r>
      <w:r w:rsidR="002C4504" w:rsidRPr="005F5821">
        <w:rPr>
          <w:rFonts w:ascii="Arial" w:hAnsi="Arial"/>
          <w:sz w:val="24"/>
          <w:lang w:eastAsia="en-GB"/>
        </w:rPr>
        <w:t>in</w:t>
      </w:r>
      <w:r w:rsidRPr="005F5821">
        <w:rPr>
          <w:rFonts w:ascii="Arial" w:hAnsi="Arial"/>
          <w:sz w:val="24"/>
          <w:lang w:eastAsia="en-GB"/>
        </w:rPr>
        <w:t xml:space="preserve">ability or </w:t>
      </w:r>
      <w:r w:rsidR="002C4504" w:rsidRPr="005F5821">
        <w:rPr>
          <w:rFonts w:ascii="Arial" w:hAnsi="Arial"/>
          <w:sz w:val="24"/>
          <w:lang w:eastAsia="en-GB"/>
        </w:rPr>
        <w:t>un</w:t>
      </w:r>
      <w:r w:rsidRPr="005F5821">
        <w:rPr>
          <w:rFonts w:ascii="Arial" w:hAnsi="Arial"/>
          <w:sz w:val="24"/>
          <w:lang w:eastAsia="en-GB"/>
        </w:rPr>
        <w:t xml:space="preserve">willingness of the judgment debtor to pay the </w:t>
      </w:r>
      <w:r w:rsidR="00A04FA7" w:rsidRPr="005F5821">
        <w:rPr>
          <w:rFonts w:ascii="Arial" w:hAnsi="Arial"/>
          <w:sz w:val="24"/>
          <w:lang w:eastAsia="en-GB"/>
        </w:rPr>
        <w:t xml:space="preserve">outstanding portion of the </w:t>
      </w:r>
      <w:r w:rsidRPr="005F5821">
        <w:rPr>
          <w:rFonts w:ascii="Arial" w:hAnsi="Arial"/>
          <w:sz w:val="24"/>
          <w:lang w:eastAsia="en-GB"/>
        </w:rPr>
        <w:t xml:space="preserve">judgment sum </w:t>
      </w:r>
      <w:r w:rsidR="00F36923" w:rsidRPr="005F5821">
        <w:rPr>
          <w:rFonts w:ascii="Arial" w:hAnsi="Arial"/>
          <w:sz w:val="24"/>
          <w:lang w:eastAsia="en-GB"/>
        </w:rPr>
        <w:t>within the time demanded</w:t>
      </w:r>
      <w:r w:rsidR="002E759F" w:rsidRPr="005F5821">
        <w:rPr>
          <w:rFonts w:ascii="Arial" w:hAnsi="Arial"/>
          <w:sz w:val="24"/>
          <w:lang w:eastAsia="en-GB"/>
        </w:rPr>
        <w:t xml:space="preserve">, </w:t>
      </w:r>
    </w:p>
    <w:p w:rsidR="00881D38" w:rsidRPr="00197F18" w:rsidRDefault="00881D38" w:rsidP="003B2EC5">
      <w:pPr>
        <w:pStyle w:val="ListParagraph"/>
        <w:rPr>
          <w:rFonts w:ascii="Arial" w:hAnsi="Arial"/>
          <w:sz w:val="24"/>
          <w:highlight w:val="yellow"/>
          <w:lang w:eastAsia="en-GB"/>
        </w:rPr>
      </w:pPr>
    </w:p>
    <w:p w:rsidR="00BF7778" w:rsidRPr="00B1440C" w:rsidRDefault="00A04FA7" w:rsidP="00197F18">
      <w:pPr>
        <w:ind w:left="2430"/>
        <w:jc w:val="both"/>
        <w:rPr>
          <w:rFonts w:ascii="Arial" w:hAnsi="Arial"/>
          <w:sz w:val="24"/>
          <w:lang w:eastAsia="en-GB"/>
        </w:rPr>
      </w:pPr>
      <w:proofErr w:type="gramStart"/>
      <w:r w:rsidRPr="005F5821">
        <w:rPr>
          <w:rFonts w:ascii="Arial" w:hAnsi="Arial"/>
          <w:sz w:val="24"/>
          <w:lang w:eastAsia="en-GB"/>
        </w:rPr>
        <w:t>but</w:t>
      </w:r>
      <w:proofErr w:type="gramEnd"/>
      <w:r w:rsidRPr="005F5821">
        <w:rPr>
          <w:rFonts w:ascii="Arial" w:hAnsi="Arial"/>
          <w:sz w:val="24"/>
          <w:lang w:eastAsia="en-GB"/>
        </w:rPr>
        <w:t xml:space="preserve"> excluding any dispute about the formal validity or substantive merits of the judgment</w:t>
      </w:r>
      <w:r w:rsidR="00A66BBB" w:rsidRPr="005F5821">
        <w:rPr>
          <w:rFonts w:ascii="Arial" w:hAnsi="Arial"/>
          <w:sz w:val="24"/>
          <w:lang w:eastAsia="en-GB"/>
        </w:rPr>
        <w:t>;</w:t>
      </w:r>
      <w:r w:rsidR="00A66BBB" w:rsidRPr="00B1440C">
        <w:rPr>
          <w:rFonts w:ascii="Arial" w:hAnsi="Arial"/>
          <w:sz w:val="24"/>
          <w:lang w:eastAsia="en-GB"/>
        </w:rPr>
        <w:t xml:space="preserve"> </w:t>
      </w:r>
    </w:p>
    <w:p w:rsidR="00A837EF" w:rsidRPr="00B1440C" w:rsidRDefault="00387495" w:rsidP="00347137">
      <w:pPr>
        <w:ind w:left="2410" w:hanging="2410"/>
        <w:jc w:val="both"/>
        <w:rPr>
          <w:rFonts w:ascii="Arial" w:eastAsiaTheme="minorHAnsi" w:hAnsi="Arial" w:cs="Arial"/>
          <w:sz w:val="24"/>
          <w:szCs w:val="24"/>
        </w:rPr>
      </w:pPr>
      <w:r w:rsidRPr="00B1440C" w:rsidDel="00387495">
        <w:rPr>
          <w:rFonts w:ascii="Arial" w:hAnsi="Arial"/>
          <w:sz w:val="24"/>
          <w:lang w:eastAsia="en-GB"/>
        </w:rPr>
        <w:t xml:space="preserve"> </w:t>
      </w:r>
      <w:r w:rsidR="00912476" w:rsidRPr="00B1440C">
        <w:rPr>
          <w:rFonts w:ascii="Arial" w:eastAsiaTheme="minorHAnsi" w:hAnsi="Arial" w:cs="Arial"/>
          <w:sz w:val="24"/>
          <w:szCs w:val="24"/>
        </w:rPr>
        <w:t>‘</w:t>
      </w:r>
      <w:r w:rsidR="00A7599B" w:rsidRPr="00B1440C">
        <w:rPr>
          <w:rFonts w:ascii="Arial" w:eastAsiaTheme="minorHAnsi" w:hAnsi="Arial" w:cs="Arial"/>
          <w:sz w:val="24"/>
          <w:szCs w:val="24"/>
        </w:rPr>
        <w:t xml:space="preserve">judgment’ </w:t>
      </w:r>
      <w:r w:rsidR="00912476" w:rsidRPr="00B1440C">
        <w:rPr>
          <w:rFonts w:ascii="Arial" w:eastAsiaTheme="minorHAnsi" w:hAnsi="Arial" w:cs="Arial"/>
          <w:sz w:val="24"/>
          <w:szCs w:val="24"/>
        </w:rPr>
        <w:t xml:space="preserve"> </w:t>
      </w:r>
      <w:r w:rsidR="00A7599B" w:rsidRPr="00B1440C">
        <w:rPr>
          <w:rFonts w:ascii="Arial" w:eastAsiaTheme="minorHAnsi" w:hAnsi="Arial" w:cs="Arial"/>
          <w:sz w:val="24"/>
          <w:szCs w:val="24"/>
        </w:rPr>
        <w:tab/>
      </w:r>
      <w:r w:rsidR="00715CBF" w:rsidRPr="005F5821">
        <w:rPr>
          <w:rFonts w:ascii="Arial" w:hAnsi="Arial"/>
          <w:sz w:val="24"/>
          <w:lang w:eastAsia="en-GB"/>
        </w:rPr>
        <w:t>a</w:t>
      </w:r>
      <w:r w:rsidR="00A81596" w:rsidRPr="005F5821">
        <w:rPr>
          <w:rFonts w:ascii="Arial" w:eastAsiaTheme="minorHAnsi" w:hAnsi="Arial" w:cs="Arial"/>
          <w:sz w:val="24"/>
          <w:szCs w:val="24"/>
        </w:rPr>
        <w:t xml:space="preserve"> judgment</w:t>
      </w:r>
      <w:r w:rsidR="006F0CA1" w:rsidRPr="005F5821">
        <w:rPr>
          <w:rFonts w:ascii="Arial" w:eastAsiaTheme="minorHAnsi" w:hAnsi="Arial" w:cs="Arial"/>
          <w:sz w:val="24"/>
          <w:szCs w:val="24"/>
        </w:rPr>
        <w:t xml:space="preserve"> </w:t>
      </w:r>
      <w:r w:rsidR="00EA539E" w:rsidRPr="005F5821">
        <w:rPr>
          <w:rFonts w:ascii="Arial" w:eastAsiaTheme="minorHAnsi" w:hAnsi="Arial" w:cs="Arial"/>
          <w:sz w:val="24"/>
          <w:szCs w:val="24"/>
        </w:rPr>
        <w:t xml:space="preserve">(including a summary or default judgment) </w:t>
      </w:r>
      <w:r w:rsidR="005B2631" w:rsidRPr="005F5821">
        <w:rPr>
          <w:rFonts w:ascii="Arial" w:eastAsiaTheme="minorHAnsi" w:hAnsi="Arial" w:cs="Arial"/>
          <w:sz w:val="24"/>
          <w:szCs w:val="24"/>
        </w:rPr>
        <w:t xml:space="preserve">of any </w:t>
      </w:r>
      <w:r w:rsidR="004D4CB6" w:rsidRPr="005F5821">
        <w:rPr>
          <w:rFonts w:ascii="Arial" w:eastAsiaTheme="minorHAnsi" w:hAnsi="Arial" w:cs="Arial"/>
          <w:sz w:val="24"/>
          <w:szCs w:val="24"/>
        </w:rPr>
        <w:t xml:space="preserve">of the </w:t>
      </w:r>
      <w:r w:rsidR="005B2631" w:rsidRPr="005F5821">
        <w:rPr>
          <w:rFonts w:ascii="Arial" w:eastAsiaTheme="minorHAnsi" w:hAnsi="Arial" w:cs="Arial"/>
          <w:sz w:val="24"/>
          <w:szCs w:val="24"/>
        </w:rPr>
        <w:t>DIFC Court</w:t>
      </w:r>
      <w:r w:rsidR="004D4CB6" w:rsidRPr="005F5821">
        <w:rPr>
          <w:rFonts w:ascii="Arial" w:eastAsiaTheme="minorHAnsi" w:hAnsi="Arial" w:cs="Arial"/>
          <w:sz w:val="24"/>
          <w:szCs w:val="24"/>
        </w:rPr>
        <w:t>s</w:t>
      </w:r>
      <w:r w:rsidR="00A25FAF" w:rsidRPr="005F5821">
        <w:rPr>
          <w:rFonts w:ascii="Arial" w:eastAsiaTheme="minorHAnsi" w:hAnsi="Arial" w:cs="Arial"/>
          <w:sz w:val="24"/>
          <w:szCs w:val="24"/>
        </w:rPr>
        <w:t xml:space="preserve"> for the payment of money</w:t>
      </w:r>
      <w:r w:rsidR="00863D75" w:rsidRPr="005F5821">
        <w:rPr>
          <w:rFonts w:ascii="Arial" w:eastAsiaTheme="minorHAnsi" w:hAnsi="Arial" w:cs="Arial"/>
          <w:sz w:val="24"/>
          <w:szCs w:val="24"/>
        </w:rPr>
        <w:t xml:space="preserve"> (including </w:t>
      </w:r>
      <w:r w:rsidR="00A837EF" w:rsidRPr="005F5821">
        <w:rPr>
          <w:rFonts w:ascii="Arial" w:eastAsiaTheme="minorHAnsi" w:hAnsi="Arial" w:cs="Arial"/>
          <w:sz w:val="24"/>
          <w:szCs w:val="24"/>
        </w:rPr>
        <w:t xml:space="preserve">interest and </w:t>
      </w:r>
      <w:r w:rsidR="00863D75" w:rsidRPr="005F5821">
        <w:rPr>
          <w:rFonts w:ascii="Arial" w:eastAsiaTheme="minorHAnsi" w:hAnsi="Arial" w:cs="Arial"/>
          <w:sz w:val="24"/>
          <w:szCs w:val="24"/>
        </w:rPr>
        <w:t>costs</w:t>
      </w:r>
      <w:r w:rsidR="00EA539E" w:rsidRPr="005F5821">
        <w:rPr>
          <w:rFonts w:ascii="Arial" w:eastAsiaTheme="minorHAnsi" w:hAnsi="Arial" w:cs="Arial"/>
          <w:sz w:val="24"/>
          <w:szCs w:val="24"/>
        </w:rPr>
        <w:t>)</w:t>
      </w:r>
      <w:r w:rsidR="00A837EF" w:rsidRPr="005F5821">
        <w:rPr>
          <w:rFonts w:ascii="Arial" w:eastAsiaTheme="minorHAnsi" w:hAnsi="Arial" w:cs="Arial"/>
          <w:sz w:val="24"/>
          <w:szCs w:val="24"/>
        </w:rPr>
        <w:t xml:space="preserve"> </w:t>
      </w:r>
      <w:r w:rsidR="00CF42B4" w:rsidRPr="005F5821">
        <w:rPr>
          <w:rFonts w:ascii="Arial" w:eastAsiaTheme="minorHAnsi" w:hAnsi="Arial" w:cs="Arial"/>
          <w:sz w:val="24"/>
          <w:szCs w:val="24"/>
        </w:rPr>
        <w:t>in respect of which there is a</w:t>
      </w:r>
      <w:r w:rsidR="00881D38" w:rsidRPr="005F5821">
        <w:rPr>
          <w:rFonts w:ascii="Arial" w:eastAsiaTheme="minorHAnsi" w:hAnsi="Arial" w:cs="Arial"/>
          <w:sz w:val="24"/>
          <w:szCs w:val="24"/>
        </w:rPr>
        <w:t xml:space="preserve"> payment</w:t>
      </w:r>
      <w:r w:rsidR="00CF42B4" w:rsidRPr="005F5821">
        <w:rPr>
          <w:rFonts w:ascii="Arial" w:eastAsiaTheme="minorHAnsi" w:hAnsi="Arial" w:cs="Arial"/>
          <w:sz w:val="24"/>
          <w:szCs w:val="24"/>
        </w:rPr>
        <w:t xml:space="preserve"> dispute that </w:t>
      </w:r>
      <w:r w:rsidR="00863D75" w:rsidRPr="005F5821">
        <w:rPr>
          <w:rFonts w:ascii="Arial" w:eastAsiaTheme="minorHAnsi" w:hAnsi="Arial" w:cs="Arial"/>
          <w:sz w:val="24"/>
          <w:szCs w:val="24"/>
        </w:rPr>
        <w:t xml:space="preserve">the </w:t>
      </w:r>
      <w:r w:rsidR="00CF42B4" w:rsidRPr="005F5821">
        <w:rPr>
          <w:rFonts w:ascii="Arial" w:eastAsiaTheme="minorHAnsi" w:hAnsi="Arial" w:cs="Arial"/>
          <w:sz w:val="24"/>
          <w:szCs w:val="24"/>
        </w:rPr>
        <w:t xml:space="preserve">judgment creditor refers to </w:t>
      </w:r>
      <w:r w:rsidR="005B2631" w:rsidRPr="005F5821">
        <w:rPr>
          <w:rFonts w:ascii="Arial" w:eastAsiaTheme="minorHAnsi" w:hAnsi="Arial" w:cs="Arial"/>
          <w:sz w:val="24"/>
          <w:szCs w:val="24"/>
        </w:rPr>
        <w:t xml:space="preserve"> </w:t>
      </w:r>
      <w:r w:rsidR="00CF42B4" w:rsidRPr="005F5821">
        <w:rPr>
          <w:rFonts w:ascii="Arial" w:eastAsiaTheme="minorHAnsi" w:hAnsi="Arial" w:cs="Arial"/>
          <w:sz w:val="24"/>
          <w:szCs w:val="24"/>
        </w:rPr>
        <w:t>arbitration</w:t>
      </w:r>
      <w:r w:rsidR="00A04FA7" w:rsidRPr="005F5821">
        <w:rPr>
          <w:rFonts w:ascii="Arial" w:eastAsiaTheme="minorHAnsi" w:hAnsi="Arial" w:cs="Arial"/>
          <w:sz w:val="24"/>
          <w:szCs w:val="24"/>
        </w:rPr>
        <w:t xml:space="preserve"> </w:t>
      </w:r>
      <w:r w:rsidR="00A837EF" w:rsidRPr="005F5821">
        <w:rPr>
          <w:rFonts w:ascii="Arial" w:eastAsiaTheme="minorHAnsi" w:hAnsi="Arial" w:cs="Arial"/>
          <w:sz w:val="24"/>
          <w:szCs w:val="24"/>
        </w:rPr>
        <w:t>under this Practice Direction</w:t>
      </w:r>
      <w:r w:rsidR="00EA539E" w:rsidRPr="005F5821">
        <w:rPr>
          <w:rFonts w:ascii="Arial" w:eastAsiaTheme="minorHAnsi" w:hAnsi="Arial" w:cs="Arial"/>
          <w:sz w:val="24"/>
          <w:szCs w:val="24"/>
        </w:rPr>
        <w:t xml:space="preserve"> (whether or not the judgment also provides for remed</w:t>
      </w:r>
      <w:r w:rsidR="00C136CD" w:rsidRPr="005F5821">
        <w:rPr>
          <w:rFonts w:ascii="Arial" w:eastAsiaTheme="minorHAnsi" w:hAnsi="Arial" w:cs="Arial"/>
          <w:sz w:val="24"/>
          <w:szCs w:val="24"/>
        </w:rPr>
        <w:t>ies other the payment of money);</w:t>
      </w:r>
    </w:p>
    <w:p w:rsidR="009509B4" w:rsidRPr="00B1440C" w:rsidRDefault="00A7599B" w:rsidP="00966219">
      <w:pPr>
        <w:ind w:left="2410" w:hanging="2410"/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lastRenderedPageBreak/>
        <w:t>‘</w:t>
      </w:r>
      <w:proofErr w:type="gramStart"/>
      <w:r w:rsidRPr="00B1440C">
        <w:rPr>
          <w:rFonts w:ascii="Arial" w:eastAsiaTheme="minorHAnsi" w:hAnsi="Arial" w:cs="Arial"/>
          <w:sz w:val="24"/>
          <w:szCs w:val="24"/>
        </w:rPr>
        <w:t>judgment</w:t>
      </w:r>
      <w:proofErr w:type="gramEnd"/>
      <w:r w:rsidRPr="00B1440C">
        <w:rPr>
          <w:rFonts w:ascii="Arial" w:eastAsiaTheme="minorHAnsi" w:hAnsi="Arial" w:cs="Arial"/>
          <w:sz w:val="24"/>
          <w:szCs w:val="24"/>
        </w:rPr>
        <w:t xml:space="preserve"> creditor’ </w:t>
      </w:r>
      <w:r w:rsidRPr="00B1440C">
        <w:rPr>
          <w:rFonts w:ascii="Arial" w:eastAsiaTheme="minorHAnsi" w:hAnsi="Arial" w:cs="Arial"/>
          <w:sz w:val="24"/>
          <w:szCs w:val="24"/>
        </w:rPr>
        <w:tab/>
      </w:r>
      <w:r w:rsidR="00966219" w:rsidRPr="00B1440C">
        <w:rPr>
          <w:rFonts w:ascii="Arial" w:eastAsiaTheme="minorHAnsi" w:hAnsi="Arial" w:cs="Arial"/>
          <w:sz w:val="24"/>
          <w:szCs w:val="24"/>
        </w:rPr>
        <w:t>a person who has obtained or is entitle</w:t>
      </w:r>
      <w:r w:rsidR="00863D75" w:rsidRPr="00B1440C">
        <w:rPr>
          <w:rFonts w:ascii="Arial" w:eastAsiaTheme="minorHAnsi" w:hAnsi="Arial" w:cs="Arial"/>
          <w:sz w:val="24"/>
          <w:szCs w:val="24"/>
        </w:rPr>
        <w:t>d to enforce a judgment</w:t>
      </w:r>
      <w:r w:rsidR="00966219" w:rsidRPr="00B1440C">
        <w:rPr>
          <w:rFonts w:ascii="Arial" w:eastAsiaTheme="minorHAnsi" w:hAnsi="Arial" w:cs="Arial"/>
          <w:sz w:val="24"/>
          <w:szCs w:val="24"/>
        </w:rPr>
        <w:t>;</w:t>
      </w:r>
    </w:p>
    <w:p w:rsidR="0042353D" w:rsidRPr="00B1440C" w:rsidRDefault="00ED40CD" w:rsidP="00347137">
      <w:pPr>
        <w:spacing w:after="240"/>
        <w:ind w:left="2410" w:hanging="2410"/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t>‘</w:t>
      </w:r>
      <w:proofErr w:type="gramStart"/>
      <w:r w:rsidRPr="00B1440C">
        <w:rPr>
          <w:rFonts w:ascii="Arial" w:eastAsiaTheme="minorHAnsi" w:hAnsi="Arial" w:cs="Arial"/>
          <w:sz w:val="24"/>
          <w:szCs w:val="24"/>
        </w:rPr>
        <w:t>judgment</w:t>
      </w:r>
      <w:proofErr w:type="gramEnd"/>
      <w:r w:rsidRPr="00B1440C">
        <w:rPr>
          <w:rFonts w:ascii="Arial" w:eastAsiaTheme="minorHAnsi" w:hAnsi="Arial" w:cs="Arial"/>
          <w:sz w:val="24"/>
          <w:szCs w:val="24"/>
        </w:rPr>
        <w:t xml:space="preserve"> debtor’ </w:t>
      </w:r>
      <w:r w:rsidR="00A7599B" w:rsidRPr="00B1440C">
        <w:rPr>
          <w:rFonts w:ascii="Arial" w:eastAsiaTheme="minorHAnsi" w:hAnsi="Arial" w:cs="Arial"/>
          <w:sz w:val="24"/>
          <w:szCs w:val="24"/>
        </w:rPr>
        <w:tab/>
      </w:r>
      <w:r w:rsidR="00966219" w:rsidRPr="00B1440C">
        <w:rPr>
          <w:rFonts w:ascii="Arial" w:eastAsiaTheme="minorHAnsi" w:hAnsi="Arial" w:cs="Arial"/>
          <w:sz w:val="24"/>
          <w:szCs w:val="24"/>
        </w:rPr>
        <w:t>a person a</w:t>
      </w:r>
      <w:r w:rsidR="00863D75" w:rsidRPr="00B1440C">
        <w:rPr>
          <w:rFonts w:ascii="Arial" w:eastAsiaTheme="minorHAnsi" w:hAnsi="Arial" w:cs="Arial"/>
          <w:sz w:val="24"/>
          <w:szCs w:val="24"/>
        </w:rPr>
        <w:t xml:space="preserve">gainst whom a judgment </w:t>
      </w:r>
      <w:r w:rsidR="00A04FA7" w:rsidRPr="00B1440C">
        <w:rPr>
          <w:rFonts w:ascii="Arial" w:eastAsiaTheme="minorHAnsi" w:hAnsi="Arial" w:cs="Arial"/>
          <w:sz w:val="24"/>
          <w:szCs w:val="24"/>
        </w:rPr>
        <w:t>has been</w:t>
      </w:r>
      <w:r w:rsidR="00966219" w:rsidRPr="00B1440C">
        <w:rPr>
          <w:rFonts w:ascii="Arial" w:eastAsiaTheme="minorHAnsi" w:hAnsi="Arial" w:cs="Arial"/>
          <w:sz w:val="24"/>
          <w:szCs w:val="24"/>
        </w:rPr>
        <w:t xml:space="preserve"> given or made</w:t>
      </w:r>
      <w:r w:rsidR="00C417FF" w:rsidRPr="00B1440C">
        <w:rPr>
          <w:rFonts w:ascii="Arial" w:eastAsiaTheme="minorHAnsi" w:hAnsi="Arial" w:cs="Arial"/>
          <w:sz w:val="24"/>
          <w:szCs w:val="24"/>
        </w:rPr>
        <w:t>.</w:t>
      </w:r>
    </w:p>
    <w:p w:rsidR="00241154" w:rsidRPr="00B1440C" w:rsidRDefault="00B26CB8">
      <w:pPr>
        <w:spacing w:after="240"/>
        <w:ind w:left="2410" w:hanging="2410"/>
        <w:jc w:val="both"/>
        <w:rPr>
          <w:rFonts w:ascii="Arial" w:eastAsiaTheme="minorHAnsi" w:hAnsi="Arial" w:cs="Arial"/>
          <w:sz w:val="24"/>
          <w:szCs w:val="24"/>
        </w:rPr>
      </w:pPr>
      <w:r w:rsidRPr="00B1440C">
        <w:rPr>
          <w:rFonts w:ascii="Arial" w:eastAsiaTheme="minorHAnsi" w:hAnsi="Arial" w:cs="Arial"/>
          <w:sz w:val="24"/>
          <w:szCs w:val="24"/>
        </w:rPr>
        <w:t>The Referral Criteria are:</w:t>
      </w:r>
    </w:p>
    <w:p w:rsidR="00B9194A" w:rsidRDefault="00B26CB8" w:rsidP="00210D6F">
      <w:pPr>
        <w:pStyle w:val="ColorfulList-Accent11"/>
        <w:numPr>
          <w:ilvl w:val="0"/>
          <w:numId w:val="4"/>
        </w:numPr>
        <w:spacing w:after="240"/>
        <w:ind w:left="567" w:hanging="567"/>
        <w:jc w:val="both"/>
        <w:rPr>
          <w:rFonts w:ascii="Arial" w:hAnsi="Arial"/>
          <w:sz w:val="24"/>
          <w:lang w:eastAsia="en-GB"/>
        </w:rPr>
      </w:pPr>
      <w:r w:rsidRPr="00B1440C">
        <w:rPr>
          <w:rFonts w:ascii="Arial" w:hAnsi="Arial"/>
          <w:sz w:val="24"/>
          <w:lang w:eastAsia="en-GB"/>
        </w:rPr>
        <w:t>The judgment has taken effect in accordance with Rule 36.</w:t>
      </w:r>
      <w:r w:rsidR="00A71957" w:rsidRPr="00B1440C">
        <w:rPr>
          <w:rFonts w:ascii="Arial" w:hAnsi="Arial"/>
          <w:sz w:val="24"/>
          <w:lang w:eastAsia="en-GB"/>
        </w:rPr>
        <w:t>30</w:t>
      </w:r>
      <w:r w:rsidRPr="00B1440C">
        <w:rPr>
          <w:rFonts w:ascii="Arial" w:hAnsi="Arial"/>
          <w:sz w:val="24"/>
          <w:lang w:eastAsia="en-GB"/>
        </w:rPr>
        <w:t>;</w:t>
      </w:r>
    </w:p>
    <w:p w:rsidR="00B1440C" w:rsidRPr="00B1440C" w:rsidRDefault="00B1440C" w:rsidP="00B1440C">
      <w:pPr>
        <w:pStyle w:val="ColorfulList-Accent11"/>
        <w:spacing w:after="240"/>
        <w:ind w:left="567"/>
        <w:jc w:val="both"/>
        <w:rPr>
          <w:rFonts w:ascii="Arial" w:hAnsi="Arial"/>
          <w:sz w:val="24"/>
          <w:lang w:eastAsia="en-GB"/>
        </w:rPr>
      </w:pPr>
    </w:p>
    <w:p w:rsidR="000F5BBF" w:rsidRPr="005F5821" w:rsidRDefault="000F5BBF">
      <w:pPr>
        <w:pStyle w:val="ColorfulList-Accent11"/>
        <w:numPr>
          <w:ilvl w:val="0"/>
          <w:numId w:val="4"/>
        </w:numPr>
        <w:spacing w:after="0"/>
        <w:ind w:left="567" w:hanging="567"/>
        <w:jc w:val="both"/>
        <w:rPr>
          <w:rFonts w:ascii="Arial" w:hAnsi="Arial"/>
          <w:sz w:val="24"/>
          <w:lang w:eastAsia="en-GB"/>
        </w:rPr>
      </w:pPr>
      <w:r w:rsidRPr="005F5821">
        <w:rPr>
          <w:rFonts w:ascii="Arial" w:hAnsi="Arial"/>
          <w:sz w:val="24"/>
          <w:lang w:eastAsia="en-GB"/>
        </w:rPr>
        <w:t xml:space="preserve">The judgment is not in respect of an employment contract or consumer contract </w:t>
      </w:r>
      <w:r w:rsidR="00757287" w:rsidRPr="005F5821">
        <w:rPr>
          <w:rFonts w:ascii="Arial" w:hAnsi="Arial"/>
          <w:sz w:val="24"/>
          <w:lang w:eastAsia="en-GB"/>
        </w:rPr>
        <w:t xml:space="preserve">which is </w:t>
      </w:r>
      <w:r w:rsidRPr="005F5821">
        <w:rPr>
          <w:rFonts w:ascii="Arial" w:hAnsi="Arial"/>
          <w:sz w:val="24"/>
          <w:lang w:eastAsia="en-GB"/>
        </w:rPr>
        <w:t xml:space="preserve">subject to Article </w:t>
      </w:r>
      <w:r w:rsidR="00757287" w:rsidRPr="005F5821">
        <w:rPr>
          <w:rFonts w:ascii="Arial" w:hAnsi="Arial"/>
          <w:sz w:val="24"/>
          <w:lang w:eastAsia="en-GB"/>
        </w:rPr>
        <w:t xml:space="preserve">12(2) </w:t>
      </w:r>
      <w:r w:rsidRPr="005F5821">
        <w:rPr>
          <w:rFonts w:ascii="Arial" w:hAnsi="Arial"/>
          <w:sz w:val="24"/>
          <w:lang w:eastAsia="en-GB"/>
        </w:rPr>
        <w:t>of the Arbitration Law 2008 precluding arbitration in respect of such contracts</w:t>
      </w:r>
      <w:r w:rsidR="00C136CD" w:rsidRPr="005F5821">
        <w:rPr>
          <w:rFonts w:ascii="Arial" w:hAnsi="Arial"/>
          <w:sz w:val="24"/>
          <w:lang w:eastAsia="en-GB"/>
        </w:rPr>
        <w:t>;</w:t>
      </w:r>
    </w:p>
    <w:p w:rsidR="00B1440C" w:rsidRPr="00B1440C" w:rsidRDefault="00B1440C" w:rsidP="00B1440C">
      <w:pPr>
        <w:pStyle w:val="ColorfulList-Accent11"/>
        <w:spacing w:after="0"/>
        <w:ind w:left="567"/>
        <w:jc w:val="both"/>
        <w:rPr>
          <w:rFonts w:ascii="Arial" w:hAnsi="Arial"/>
          <w:sz w:val="24"/>
          <w:lang w:eastAsia="en-GB"/>
        </w:rPr>
      </w:pPr>
    </w:p>
    <w:p w:rsidR="00AC2F48" w:rsidRPr="00B1440C" w:rsidRDefault="00AC2F48" w:rsidP="00AC2F48">
      <w:pPr>
        <w:pStyle w:val="ColorfulList-Accent11"/>
        <w:numPr>
          <w:ilvl w:val="0"/>
          <w:numId w:val="4"/>
        </w:numPr>
        <w:spacing w:after="240"/>
        <w:ind w:left="567" w:hanging="567"/>
        <w:jc w:val="both"/>
        <w:rPr>
          <w:rFonts w:ascii="Arial" w:hAnsi="Arial"/>
          <w:sz w:val="24"/>
          <w:lang w:eastAsia="en-GB"/>
        </w:rPr>
      </w:pPr>
      <w:r w:rsidRPr="00B1440C">
        <w:rPr>
          <w:rFonts w:ascii="Arial" w:hAnsi="Arial"/>
          <w:sz w:val="24"/>
          <w:lang w:eastAsia="en-GB"/>
        </w:rPr>
        <w:t xml:space="preserve">The judgment is not subject to any appeal and the time permitted for a party to the judgment to apply for permission to appeal has expired; </w:t>
      </w:r>
    </w:p>
    <w:p w:rsidR="00B448D1" w:rsidRPr="00B1440C" w:rsidRDefault="00B448D1" w:rsidP="002F2ABA">
      <w:pPr>
        <w:pStyle w:val="ColorfulList-Accent11"/>
        <w:spacing w:after="0"/>
        <w:ind w:left="567"/>
        <w:jc w:val="both"/>
        <w:rPr>
          <w:rFonts w:ascii="Arial" w:hAnsi="Arial"/>
          <w:sz w:val="24"/>
          <w:lang w:eastAsia="en-GB"/>
        </w:rPr>
      </w:pPr>
    </w:p>
    <w:p w:rsidR="00B9194A" w:rsidRPr="00B1440C" w:rsidRDefault="00B9194A" w:rsidP="00FA1E8E">
      <w:pPr>
        <w:pStyle w:val="ColorfulList-Accent11"/>
        <w:numPr>
          <w:ilvl w:val="0"/>
          <w:numId w:val="4"/>
        </w:numPr>
        <w:spacing w:after="240"/>
        <w:ind w:left="567" w:hanging="567"/>
        <w:jc w:val="both"/>
        <w:rPr>
          <w:rFonts w:ascii="Arial" w:hAnsi="Arial"/>
          <w:sz w:val="24"/>
          <w:lang w:eastAsia="en-GB"/>
        </w:rPr>
      </w:pPr>
      <w:r w:rsidRPr="00B1440C">
        <w:rPr>
          <w:rFonts w:ascii="Arial" w:hAnsi="Arial"/>
          <w:sz w:val="24"/>
          <w:lang w:eastAsia="en-GB"/>
        </w:rPr>
        <w:t>There is a</w:t>
      </w:r>
      <w:r w:rsidR="00383DF0" w:rsidRPr="00B1440C">
        <w:rPr>
          <w:rFonts w:ascii="Arial" w:hAnsi="Arial"/>
          <w:sz w:val="24"/>
          <w:lang w:eastAsia="en-GB"/>
        </w:rPr>
        <w:t xml:space="preserve"> payment</w:t>
      </w:r>
      <w:r w:rsidRPr="00B1440C">
        <w:rPr>
          <w:rFonts w:ascii="Arial" w:hAnsi="Arial"/>
          <w:sz w:val="24"/>
          <w:lang w:eastAsia="en-GB"/>
        </w:rPr>
        <w:t xml:space="preserve"> dispute in relation to the judgment;</w:t>
      </w:r>
      <w:r w:rsidR="00C136CD" w:rsidRPr="00B1440C">
        <w:rPr>
          <w:rFonts w:ascii="Arial" w:hAnsi="Arial"/>
          <w:sz w:val="24"/>
          <w:lang w:eastAsia="en-GB"/>
        </w:rPr>
        <w:t xml:space="preserve"> and</w:t>
      </w:r>
    </w:p>
    <w:p w:rsidR="00B9194A" w:rsidRPr="00B1440C" w:rsidRDefault="00B9194A">
      <w:pPr>
        <w:pStyle w:val="ColorfulList-Accent11"/>
        <w:spacing w:after="240"/>
        <w:ind w:left="567"/>
        <w:jc w:val="both"/>
        <w:rPr>
          <w:rFonts w:ascii="Arial" w:hAnsi="Arial"/>
          <w:sz w:val="24"/>
          <w:lang w:eastAsia="en-GB"/>
        </w:rPr>
      </w:pPr>
    </w:p>
    <w:p w:rsidR="00B9194A" w:rsidRPr="00B1440C" w:rsidRDefault="00B26CB8" w:rsidP="00FA1E8E">
      <w:pPr>
        <w:pStyle w:val="ColorfulList-Accent11"/>
        <w:numPr>
          <w:ilvl w:val="0"/>
          <w:numId w:val="4"/>
        </w:numPr>
        <w:spacing w:after="240"/>
        <w:ind w:left="567" w:hanging="567"/>
        <w:jc w:val="both"/>
        <w:rPr>
          <w:rFonts w:ascii="Arial" w:hAnsi="Arial"/>
          <w:sz w:val="24"/>
          <w:lang w:eastAsia="en-GB"/>
        </w:rPr>
      </w:pPr>
      <w:r w:rsidRPr="00B1440C">
        <w:rPr>
          <w:rFonts w:ascii="Arial" w:hAnsi="Arial"/>
          <w:sz w:val="24"/>
          <w:lang w:eastAsia="en-GB"/>
        </w:rPr>
        <w:t xml:space="preserve">The judgment creditor and judgment debtor have agreed in writing that any </w:t>
      </w:r>
      <w:r w:rsidR="00383DF0" w:rsidRPr="00B1440C">
        <w:rPr>
          <w:rFonts w:ascii="Arial" w:hAnsi="Arial"/>
          <w:sz w:val="24"/>
          <w:lang w:eastAsia="en-GB"/>
        </w:rPr>
        <w:t xml:space="preserve">payment </w:t>
      </w:r>
      <w:r w:rsidRPr="00B1440C">
        <w:rPr>
          <w:rFonts w:ascii="Arial" w:hAnsi="Arial"/>
          <w:sz w:val="24"/>
          <w:lang w:eastAsia="en-GB"/>
        </w:rPr>
        <w:t>dispute between them shall be referred to arbitration pursuant to this Practice Direction</w:t>
      </w:r>
      <w:r w:rsidR="001062ED" w:rsidRPr="00B1440C">
        <w:rPr>
          <w:rFonts w:ascii="Arial" w:hAnsi="Arial"/>
          <w:sz w:val="24"/>
          <w:lang w:eastAsia="en-GB"/>
        </w:rPr>
        <w:t>.</w:t>
      </w:r>
    </w:p>
    <w:p w:rsidR="001062ED" w:rsidRPr="00B1440C" w:rsidDel="001062ED" w:rsidRDefault="001062ED" w:rsidP="003B6712">
      <w:pPr>
        <w:pStyle w:val="ColorfulList-Accent11"/>
        <w:spacing w:after="0"/>
        <w:ind w:left="567"/>
        <w:jc w:val="both"/>
        <w:rPr>
          <w:rFonts w:ascii="Arial" w:hAnsi="Arial"/>
          <w:sz w:val="24"/>
          <w:lang w:eastAsia="en-GB"/>
        </w:rPr>
      </w:pPr>
    </w:p>
    <w:p w:rsidR="00B132B6" w:rsidRPr="00B1440C" w:rsidRDefault="00B132B6" w:rsidP="00347137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B1440C">
        <w:rPr>
          <w:rFonts w:ascii="Arial" w:eastAsiaTheme="minorHAnsi" w:hAnsi="Arial" w:cs="Arial"/>
          <w:b/>
          <w:sz w:val="24"/>
          <w:szCs w:val="24"/>
        </w:rPr>
        <w:t xml:space="preserve">Suggested </w:t>
      </w:r>
      <w:r w:rsidR="006A07C3" w:rsidRPr="00B1440C">
        <w:rPr>
          <w:rFonts w:ascii="Arial" w:eastAsiaTheme="minorHAnsi" w:hAnsi="Arial" w:cs="Arial"/>
          <w:b/>
          <w:sz w:val="24"/>
          <w:szCs w:val="24"/>
        </w:rPr>
        <w:t>Arbitration</w:t>
      </w:r>
      <w:r w:rsidR="006E1FDE" w:rsidRPr="00B1440C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B1440C">
        <w:rPr>
          <w:rFonts w:ascii="Arial" w:eastAsiaTheme="minorHAnsi" w:hAnsi="Arial" w:cs="Arial"/>
          <w:b/>
          <w:sz w:val="24"/>
          <w:szCs w:val="24"/>
        </w:rPr>
        <w:t>Clause</w:t>
      </w:r>
    </w:p>
    <w:p w:rsidR="001F1677" w:rsidRPr="00B1440C" w:rsidRDefault="001F1677">
      <w:pPr>
        <w:spacing w:after="240"/>
        <w:jc w:val="both"/>
        <w:rPr>
          <w:rFonts w:ascii="Arial" w:hAnsi="Arial"/>
          <w:i/>
          <w:sz w:val="24"/>
        </w:rPr>
      </w:pPr>
      <w:r w:rsidRPr="00B1440C">
        <w:rPr>
          <w:rFonts w:ascii="Arial" w:hAnsi="Arial"/>
          <w:i/>
          <w:sz w:val="24"/>
        </w:rPr>
        <w:t xml:space="preserve">Any </w:t>
      </w:r>
      <w:r w:rsidR="00383DF0" w:rsidRPr="00B1440C">
        <w:rPr>
          <w:rFonts w:ascii="Arial" w:hAnsi="Arial"/>
          <w:i/>
          <w:sz w:val="24"/>
        </w:rPr>
        <w:t xml:space="preserve">payment </w:t>
      </w:r>
      <w:r w:rsidR="00A04FA7" w:rsidRPr="00B1440C">
        <w:rPr>
          <w:rFonts w:ascii="Arial" w:hAnsi="Arial"/>
          <w:i/>
          <w:sz w:val="24"/>
        </w:rPr>
        <w:t xml:space="preserve">dispute (as defined in DIFC Courts Practice Direction No </w:t>
      </w:r>
      <w:r w:rsidR="00197F18">
        <w:rPr>
          <w:rFonts w:ascii="Arial" w:hAnsi="Arial"/>
          <w:i/>
          <w:sz w:val="24"/>
        </w:rPr>
        <w:t>Y</w:t>
      </w:r>
      <w:r w:rsidR="00197F18" w:rsidRPr="00B1440C">
        <w:rPr>
          <w:rFonts w:ascii="Arial" w:hAnsi="Arial"/>
          <w:i/>
          <w:sz w:val="24"/>
        </w:rPr>
        <w:t xml:space="preserve"> </w:t>
      </w:r>
      <w:r w:rsidR="00A04FA7" w:rsidRPr="00B1440C">
        <w:rPr>
          <w:rFonts w:ascii="Arial" w:hAnsi="Arial"/>
          <w:i/>
          <w:sz w:val="24"/>
        </w:rPr>
        <w:t xml:space="preserve">of </w:t>
      </w:r>
      <w:r w:rsidR="00197F18" w:rsidRPr="00B1440C">
        <w:rPr>
          <w:rFonts w:ascii="Arial" w:hAnsi="Arial"/>
          <w:i/>
          <w:sz w:val="24"/>
        </w:rPr>
        <w:t>201</w:t>
      </w:r>
      <w:r w:rsidR="00197F18">
        <w:rPr>
          <w:rFonts w:ascii="Arial" w:hAnsi="Arial"/>
          <w:i/>
          <w:sz w:val="24"/>
        </w:rPr>
        <w:t>5</w:t>
      </w:r>
      <w:r w:rsidR="00A04FA7" w:rsidRPr="00B1440C">
        <w:rPr>
          <w:rFonts w:ascii="Arial" w:hAnsi="Arial"/>
          <w:i/>
          <w:sz w:val="24"/>
        </w:rPr>
        <w:t xml:space="preserve">) </w:t>
      </w:r>
      <w:r w:rsidR="009C496A" w:rsidRPr="00B1440C">
        <w:rPr>
          <w:rFonts w:ascii="Arial" w:hAnsi="Arial"/>
          <w:i/>
          <w:sz w:val="24"/>
        </w:rPr>
        <w:t xml:space="preserve"> that satisfies</w:t>
      </w:r>
      <w:r w:rsidR="00A04FA7" w:rsidRPr="00B1440C">
        <w:rPr>
          <w:rFonts w:ascii="Arial" w:hAnsi="Arial"/>
          <w:i/>
          <w:sz w:val="24"/>
        </w:rPr>
        <w:t xml:space="preserve"> </w:t>
      </w:r>
      <w:r w:rsidR="007D34D7" w:rsidRPr="00B1440C">
        <w:rPr>
          <w:rFonts w:ascii="Arial" w:hAnsi="Arial"/>
          <w:i/>
          <w:sz w:val="24"/>
        </w:rPr>
        <w:t xml:space="preserve"> all </w:t>
      </w:r>
      <w:r w:rsidR="00D72FE2" w:rsidRPr="00B1440C">
        <w:rPr>
          <w:rFonts w:ascii="Arial" w:hAnsi="Arial"/>
          <w:i/>
          <w:sz w:val="24"/>
        </w:rPr>
        <w:t xml:space="preserve">of </w:t>
      </w:r>
      <w:r w:rsidR="004D4CB6" w:rsidRPr="00B1440C">
        <w:rPr>
          <w:rFonts w:ascii="Arial" w:hAnsi="Arial"/>
          <w:i/>
          <w:sz w:val="24"/>
        </w:rPr>
        <w:t xml:space="preserve">the </w:t>
      </w:r>
      <w:r w:rsidR="00E86E48" w:rsidRPr="00B1440C">
        <w:rPr>
          <w:rFonts w:ascii="Arial" w:hAnsi="Arial"/>
          <w:i/>
          <w:sz w:val="24"/>
        </w:rPr>
        <w:t>Referral C</w:t>
      </w:r>
      <w:r w:rsidR="00E82F2E" w:rsidRPr="00B1440C">
        <w:rPr>
          <w:rFonts w:ascii="Arial" w:hAnsi="Arial"/>
          <w:i/>
          <w:sz w:val="24"/>
        </w:rPr>
        <w:t xml:space="preserve">riteria set out in Practice Direction </w:t>
      </w:r>
      <w:r w:rsidR="00197F18">
        <w:rPr>
          <w:rFonts w:ascii="Arial" w:hAnsi="Arial"/>
          <w:i/>
          <w:sz w:val="24"/>
        </w:rPr>
        <w:t>Y</w:t>
      </w:r>
      <w:r w:rsidR="00197F18" w:rsidRPr="00B1440C">
        <w:rPr>
          <w:rFonts w:ascii="Arial" w:hAnsi="Arial"/>
          <w:i/>
          <w:sz w:val="24"/>
        </w:rPr>
        <w:t xml:space="preserve"> </w:t>
      </w:r>
      <w:r w:rsidR="00E82F2E" w:rsidRPr="00B1440C">
        <w:rPr>
          <w:rFonts w:ascii="Arial" w:hAnsi="Arial"/>
          <w:i/>
          <w:sz w:val="24"/>
        </w:rPr>
        <w:t xml:space="preserve">of </w:t>
      </w:r>
      <w:r w:rsidR="00197F18" w:rsidRPr="00B1440C">
        <w:rPr>
          <w:rFonts w:ascii="Arial" w:hAnsi="Arial"/>
          <w:i/>
          <w:sz w:val="24"/>
        </w:rPr>
        <w:t>201</w:t>
      </w:r>
      <w:r w:rsidR="00197F18">
        <w:rPr>
          <w:rFonts w:ascii="Arial" w:hAnsi="Arial"/>
          <w:i/>
          <w:sz w:val="24"/>
        </w:rPr>
        <w:t>5</w:t>
      </w:r>
      <w:r w:rsidR="00197F18" w:rsidRPr="00B1440C">
        <w:rPr>
          <w:rFonts w:ascii="Arial" w:hAnsi="Arial"/>
          <w:i/>
          <w:sz w:val="24"/>
        </w:rPr>
        <w:t xml:space="preserve">  </w:t>
      </w:r>
      <w:r w:rsidR="00C85A02" w:rsidRPr="00B1440C">
        <w:rPr>
          <w:rFonts w:ascii="Arial" w:hAnsi="Arial"/>
          <w:i/>
          <w:sz w:val="24"/>
        </w:rPr>
        <w:t xml:space="preserve">shall be referred to and </w:t>
      </w:r>
      <w:r w:rsidR="00757287" w:rsidRPr="00B1440C">
        <w:rPr>
          <w:rFonts w:ascii="Arial" w:hAnsi="Arial"/>
          <w:i/>
          <w:sz w:val="24"/>
        </w:rPr>
        <w:t xml:space="preserve">be </w:t>
      </w:r>
      <w:r w:rsidR="00C85A02" w:rsidRPr="00B1440C">
        <w:rPr>
          <w:rFonts w:ascii="Arial" w:hAnsi="Arial"/>
          <w:i/>
          <w:sz w:val="24"/>
        </w:rPr>
        <w:t xml:space="preserve">finally resolved by arbitration under the Arbitration Rules of the </w:t>
      </w:r>
      <w:r w:rsidR="00EA539E" w:rsidRPr="00B1440C">
        <w:rPr>
          <w:rFonts w:ascii="Arial" w:hAnsi="Arial"/>
          <w:i/>
          <w:sz w:val="24"/>
        </w:rPr>
        <w:t xml:space="preserve">DIFC-LCIA </w:t>
      </w:r>
      <w:r w:rsidR="00C85A02" w:rsidRPr="00B1440C">
        <w:rPr>
          <w:rFonts w:ascii="Arial" w:hAnsi="Arial"/>
          <w:i/>
          <w:sz w:val="24"/>
        </w:rPr>
        <w:t xml:space="preserve">Arbitration </w:t>
      </w:r>
      <w:r w:rsidR="00C85A02" w:rsidRPr="005F5821">
        <w:rPr>
          <w:rFonts w:ascii="Arial" w:hAnsi="Arial"/>
          <w:i/>
          <w:sz w:val="24"/>
        </w:rPr>
        <w:t xml:space="preserve">Centre, which Rules are deemed to be incorporated by reference into this clause. </w:t>
      </w:r>
      <w:r w:rsidR="0053461E" w:rsidRPr="005F5821">
        <w:rPr>
          <w:rFonts w:ascii="Arial" w:hAnsi="Arial"/>
          <w:i/>
          <w:sz w:val="24"/>
        </w:rPr>
        <w:t>There shall be a single arbitrator to</w:t>
      </w:r>
      <w:r w:rsidR="00757287" w:rsidRPr="005F5821">
        <w:rPr>
          <w:rFonts w:ascii="Arial" w:hAnsi="Arial"/>
          <w:i/>
          <w:sz w:val="24"/>
        </w:rPr>
        <w:t xml:space="preserve"> be appointed by </w:t>
      </w:r>
      <w:r w:rsidR="0053461E" w:rsidRPr="005F5821">
        <w:rPr>
          <w:rFonts w:ascii="Arial" w:hAnsi="Arial"/>
          <w:i/>
          <w:sz w:val="24"/>
        </w:rPr>
        <w:t xml:space="preserve">the </w:t>
      </w:r>
      <w:r w:rsidR="00757287" w:rsidRPr="005F5821">
        <w:rPr>
          <w:rFonts w:ascii="Arial" w:hAnsi="Arial"/>
          <w:i/>
          <w:sz w:val="24"/>
        </w:rPr>
        <w:t>LCIA Court pursuant to Article 5.4 of the DIFC-LCIA Arbitration Rules</w:t>
      </w:r>
      <w:r w:rsidR="00C85A02" w:rsidRPr="005F5821">
        <w:rPr>
          <w:rFonts w:ascii="Arial" w:hAnsi="Arial"/>
          <w:i/>
          <w:sz w:val="24"/>
        </w:rPr>
        <w:t>.</w:t>
      </w:r>
      <w:r w:rsidR="00C85A02" w:rsidRPr="00B1440C">
        <w:rPr>
          <w:rFonts w:ascii="Arial" w:hAnsi="Arial"/>
          <w:i/>
          <w:sz w:val="24"/>
        </w:rPr>
        <w:t xml:space="preserve"> The seat, or legal place of arbitration, shall be</w:t>
      </w:r>
      <w:r w:rsidR="004E6CA7" w:rsidRPr="00B1440C">
        <w:rPr>
          <w:rFonts w:ascii="Arial" w:hAnsi="Arial"/>
          <w:i/>
          <w:sz w:val="24"/>
        </w:rPr>
        <w:t xml:space="preserve"> the Dubai International Financial Centre. The language to be used in the arbitration shall be English.</w:t>
      </w:r>
    </w:p>
    <w:p w:rsidR="00BF40F9" w:rsidRPr="00B1440C" w:rsidRDefault="001F1677">
      <w:pPr>
        <w:spacing w:after="240"/>
        <w:jc w:val="both"/>
        <w:rPr>
          <w:rFonts w:ascii="Arial" w:hAnsi="Arial"/>
          <w:sz w:val="24"/>
        </w:rPr>
      </w:pPr>
      <w:r w:rsidRPr="005F5821">
        <w:rPr>
          <w:rFonts w:ascii="Arial" w:hAnsi="Arial"/>
          <w:i/>
          <w:sz w:val="24"/>
        </w:rPr>
        <w:t xml:space="preserve">This </w:t>
      </w:r>
      <w:r w:rsidR="009C496A" w:rsidRPr="005F5821">
        <w:rPr>
          <w:rFonts w:ascii="Arial" w:hAnsi="Arial"/>
          <w:i/>
          <w:sz w:val="24"/>
        </w:rPr>
        <w:t xml:space="preserve">agreement for </w:t>
      </w:r>
      <w:r w:rsidR="00383DF0" w:rsidRPr="005F5821">
        <w:rPr>
          <w:rFonts w:ascii="Arial" w:hAnsi="Arial"/>
          <w:i/>
          <w:sz w:val="24"/>
          <w:u w:val="single"/>
        </w:rPr>
        <w:t>post-judgment</w:t>
      </w:r>
      <w:r w:rsidR="009C496A" w:rsidRPr="005F5821">
        <w:rPr>
          <w:rFonts w:ascii="Arial" w:hAnsi="Arial"/>
          <w:i/>
          <w:sz w:val="24"/>
          <w:u w:val="single"/>
        </w:rPr>
        <w:t xml:space="preserve"> submission</w:t>
      </w:r>
      <w:r w:rsidR="009C496A" w:rsidRPr="005F5821">
        <w:rPr>
          <w:rFonts w:ascii="Arial" w:hAnsi="Arial"/>
          <w:i/>
          <w:sz w:val="24"/>
        </w:rPr>
        <w:t xml:space="preserve"> to arbitration</w:t>
      </w:r>
      <w:r w:rsidRPr="005F5821">
        <w:rPr>
          <w:rFonts w:ascii="Arial" w:hAnsi="Arial"/>
          <w:i/>
          <w:sz w:val="24"/>
        </w:rPr>
        <w:t xml:space="preserve"> shall </w:t>
      </w:r>
      <w:r w:rsidR="003B2EC5" w:rsidRPr="005F5821">
        <w:rPr>
          <w:rFonts w:ascii="Arial" w:hAnsi="Arial"/>
          <w:i/>
          <w:sz w:val="24"/>
        </w:rPr>
        <w:t xml:space="preserve">in </w:t>
      </w:r>
      <w:r w:rsidR="00A75BAF" w:rsidRPr="005F5821">
        <w:rPr>
          <w:rFonts w:ascii="Arial" w:hAnsi="Arial"/>
          <w:i/>
          <w:sz w:val="24"/>
        </w:rPr>
        <w:t>all respects including (but not limited to)</w:t>
      </w:r>
      <w:r w:rsidR="003B2EC5" w:rsidRPr="005F5821">
        <w:rPr>
          <w:rFonts w:ascii="Arial" w:hAnsi="Arial"/>
          <w:i/>
          <w:sz w:val="24"/>
        </w:rPr>
        <w:t xml:space="preserve"> its existence, </w:t>
      </w:r>
      <w:r w:rsidR="009B20B7" w:rsidRPr="005F5821">
        <w:rPr>
          <w:rFonts w:ascii="Arial" w:hAnsi="Arial"/>
          <w:i/>
          <w:sz w:val="24"/>
        </w:rPr>
        <w:t xml:space="preserve">validity, </w:t>
      </w:r>
      <w:r w:rsidR="003B2EC5" w:rsidRPr="005F5821">
        <w:rPr>
          <w:rFonts w:ascii="Arial" w:hAnsi="Arial"/>
          <w:i/>
          <w:sz w:val="24"/>
        </w:rPr>
        <w:t>interpretation, performance, discharge</w:t>
      </w:r>
      <w:r w:rsidR="009A316D" w:rsidRPr="005F5821">
        <w:rPr>
          <w:rFonts w:ascii="Arial" w:hAnsi="Arial"/>
          <w:i/>
          <w:sz w:val="24"/>
        </w:rPr>
        <w:t>,</w:t>
      </w:r>
      <w:r w:rsidR="003B2EC5" w:rsidRPr="005F5821">
        <w:rPr>
          <w:rFonts w:ascii="Arial" w:hAnsi="Arial"/>
          <w:i/>
          <w:sz w:val="24"/>
        </w:rPr>
        <w:t xml:space="preserve"> and applicable remedies </w:t>
      </w:r>
      <w:r w:rsidRPr="005F5821">
        <w:rPr>
          <w:rFonts w:ascii="Arial" w:hAnsi="Arial"/>
          <w:i/>
          <w:sz w:val="24"/>
        </w:rPr>
        <w:t>be governed by and construed in accordance with the law</w:t>
      </w:r>
      <w:r w:rsidR="00B44692" w:rsidRPr="005F5821">
        <w:rPr>
          <w:rFonts w:ascii="Arial" w:hAnsi="Arial"/>
          <w:i/>
          <w:sz w:val="24"/>
        </w:rPr>
        <w:t>s</w:t>
      </w:r>
      <w:r w:rsidRPr="005F5821">
        <w:rPr>
          <w:rFonts w:ascii="Arial" w:hAnsi="Arial"/>
          <w:i/>
          <w:sz w:val="24"/>
        </w:rPr>
        <w:t xml:space="preserve"> of</w:t>
      </w:r>
      <w:r w:rsidR="00BF40F9" w:rsidRPr="005F5821">
        <w:rPr>
          <w:rFonts w:ascii="Arial" w:hAnsi="Arial"/>
          <w:i/>
          <w:sz w:val="24"/>
        </w:rPr>
        <w:t xml:space="preserve"> </w:t>
      </w:r>
      <w:r w:rsidR="00C74047" w:rsidRPr="005F5821">
        <w:rPr>
          <w:rFonts w:ascii="Arial" w:hAnsi="Arial"/>
          <w:i/>
          <w:sz w:val="24"/>
        </w:rPr>
        <w:t>the Duba</w:t>
      </w:r>
      <w:r w:rsidR="00BF40F9" w:rsidRPr="005F5821">
        <w:rPr>
          <w:rFonts w:ascii="Arial" w:hAnsi="Arial"/>
          <w:i/>
          <w:sz w:val="24"/>
        </w:rPr>
        <w:t xml:space="preserve">i International </w:t>
      </w:r>
      <w:r w:rsidR="00DA60F4" w:rsidRPr="005F5821">
        <w:rPr>
          <w:rFonts w:ascii="Arial" w:hAnsi="Arial"/>
          <w:i/>
          <w:sz w:val="24"/>
        </w:rPr>
        <w:t xml:space="preserve">Financial </w:t>
      </w:r>
      <w:r w:rsidR="00BF40F9" w:rsidRPr="005F5821">
        <w:rPr>
          <w:rFonts w:ascii="Arial" w:hAnsi="Arial"/>
          <w:i/>
          <w:sz w:val="24"/>
        </w:rPr>
        <w:t>Centre</w:t>
      </w:r>
      <w:r w:rsidR="000A742B" w:rsidRPr="005F5821">
        <w:rPr>
          <w:rFonts w:ascii="Arial" w:hAnsi="Arial"/>
          <w:i/>
          <w:sz w:val="24"/>
        </w:rPr>
        <w:t>.</w:t>
      </w:r>
    </w:p>
    <w:p w:rsidR="00A837EF" w:rsidRPr="00B1440C" w:rsidRDefault="00A837EF" w:rsidP="00840D53">
      <w:pPr>
        <w:spacing w:after="240"/>
        <w:jc w:val="both"/>
        <w:rPr>
          <w:rFonts w:ascii="Arial" w:hAnsi="Arial"/>
          <w:sz w:val="24"/>
        </w:rPr>
      </w:pPr>
      <w:r w:rsidRPr="00B1440C">
        <w:rPr>
          <w:rFonts w:ascii="Arial" w:hAnsi="Arial"/>
          <w:sz w:val="24"/>
        </w:rPr>
        <w:t xml:space="preserve">Nothing in this Practice Direction shall be taken to rescind, vary, curtail or suspend </w:t>
      </w:r>
      <w:r w:rsidR="000F5BBF" w:rsidRPr="00B1440C">
        <w:rPr>
          <w:rFonts w:ascii="Arial" w:hAnsi="Arial"/>
          <w:sz w:val="24"/>
        </w:rPr>
        <w:t xml:space="preserve">the effect or operation of </w:t>
      </w:r>
      <w:r w:rsidRPr="00B1440C">
        <w:rPr>
          <w:rFonts w:ascii="Arial" w:hAnsi="Arial"/>
          <w:sz w:val="24"/>
        </w:rPr>
        <w:t>any judgment of the Courts of the Dubai International Financial Centre save as expressly provided in the Rules of the DIFC Courts</w:t>
      </w:r>
      <w:r w:rsidR="0053461E" w:rsidRPr="00B1440C">
        <w:rPr>
          <w:rFonts w:ascii="Arial" w:hAnsi="Arial"/>
          <w:sz w:val="24"/>
        </w:rPr>
        <w:t xml:space="preserve"> as they may be amended from time to time</w:t>
      </w:r>
      <w:r w:rsidRPr="00B1440C">
        <w:rPr>
          <w:rFonts w:ascii="Arial" w:hAnsi="Arial"/>
          <w:sz w:val="24"/>
        </w:rPr>
        <w:t xml:space="preserve">. </w:t>
      </w:r>
    </w:p>
    <w:p w:rsidR="00840D53" w:rsidRPr="00B1440C" w:rsidRDefault="00840D53" w:rsidP="00840D53">
      <w:pPr>
        <w:spacing w:after="240"/>
        <w:jc w:val="both"/>
        <w:rPr>
          <w:rFonts w:ascii="Arial" w:hAnsi="Arial"/>
          <w:sz w:val="24"/>
        </w:rPr>
      </w:pPr>
      <w:r w:rsidRPr="00B1440C">
        <w:rPr>
          <w:rFonts w:ascii="Arial" w:hAnsi="Arial"/>
          <w:sz w:val="24"/>
        </w:rPr>
        <w:t xml:space="preserve">Dated this [   ] day of [        ] </w:t>
      </w:r>
      <w:r w:rsidR="004F58AD" w:rsidRPr="00B1440C">
        <w:rPr>
          <w:rFonts w:ascii="Arial" w:hAnsi="Arial"/>
          <w:sz w:val="24"/>
        </w:rPr>
        <w:t>2015</w:t>
      </w:r>
    </w:p>
    <w:p w:rsidR="001F1677" w:rsidRPr="00B1440C" w:rsidRDefault="00606748" w:rsidP="00840D53">
      <w:pPr>
        <w:spacing w:after="240"/>
        <w:jc w:val="both"/>
        <w:rPr>
          <w:rFonts w:ascii="Arial" w:hAnsi="Arial"/>
          <w:sz w:val="24"/>
        </w:rPr>
      </w:pPr>
      <w:r w:rsidRPr="00B1440C">
        <w:rPr>
          <w:rFonts w:ascii="Arial" w:hAnsi="Arial"/>
          <w:b/>
          <w:sz w:val="24"/>
        </w:rPr>
        <w:t>Chief Justice Michael Hwang</w:t>
      </w:r>
    </w:p>
    <w:p w:rsidR="00C17503" w:rsidRPr="00B1440C" w:rsidRDefault="00C17503" w:rsidP="00347137">
      <w:pPr>
        <w:spacing w:after="240"/>
        <w:jc w:val="both"/>
        <w:rPr>
          <w:rFonts w:ascii="Arial" w:hAnsi="Arial"/>
          <w:sz w:val="24"/>
          <w:lang w:eastAsia="en-GB"/>
        </w:rPr>
      </w:pPr>
    </w:p>
    <w:sectPr w:rsidR="00C17503" w:rsidRPr="00B1440C" w:rsidSect="005F3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5F" w:rsidRDefault="0040275F">
      <w:pPr>
        <w:spacing w:after="0" w:line="240" w:lineRule="auto"/>
      </w:pPr>
      <w:r>
        <w:separator/>
      </w:r>
    </w:p>
  </w:endnote>
  <w:endnote w:type="continuationSeparator" w:id="0">
    <w:p w:rsidR="0040275F" w:rsidRDefault="004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6A" w:rsidRDefault="009C496A" w:rsidP="007D34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496A" w:rsidRDefault="009C4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6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526" w:rsidRDefault="005F3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496A" w:rsidRDefault="009C49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C2" w:rsidRDefault="00E20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5F" w:rsidRDefault="0040275F">
      <w:pPr>
        <w:spacing w:after="0" w:line="240" w:lineRule="auto"/>
      </w:pPr>
      <w:r>
        <w:separator/>
      </w:r>
    </w:p>
  </w:footnote>
  <w:footnote w:type="continuationSeparator" w:id="0">
    <w:p w:rsidR="0040275F" w:rsidRDefault="004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C2" w:rsidRDefault="00E20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D" w:rsidRDefault="00F25463" w:rsidP="00C136CD">
    <w:pPr>
      <w:pStyle w:val="Header"/>
      <w:jc w:val="right"/>
      <w:rPr>
        <w:b/>
        <w:sz w:val="28"/>
        <w:szCs w:val="28"/>
        <w:lang w:val="en-US"/>
      </w:rPr>
    </w:pPr>
    <w:sdt>
      <w:sdtPr>
        <w:rPr>
          <w:b/>
          <w:sz w:val="28"/>
          <w:szCs w:val="28"/>
          <w:lang w:val="en-US"/>
        </w:rPr>
        <w:id w:val="80011402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  <w:szCs w:val="2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proofErr w:type="gramStart"/>
    <w:r w:rsidR="00167D0E">
      <w:rPr>
        <w:b/>
        <w:sz w:val="28"/>
        <w:szCs w:val="28"/>
        <w:lang w:val="en-US"/>
      </w:rPr>
      <w:t>DRAFT</w:t>
    </w:r>
    <w:r w:rsidR="004044C8">
      <w:rPr>
        <w:b/>
        <w:sz w:val="28"/>
        <w:szCs w:val="28"/>
        <w:lang w:val="en-US"/>
      </w:rPr>
      <w:t>(</w:t>
    </w:r>
    <w:proofErr w:type="gramEnd"/>
    <w:r w:rsidR="00E205C2">
      <w:rPr>
        <w:b/>
        <w:sz w:val="28"/>
        <w:szCs w:val="28"/>
        <w:lang w:val="en-US"/>
      </w:rPr>
      <w:t>5</w:t>
    </w:r>
    <w:r w:rsidR="009A316D">
      <w:rPr>
        <w:b/>
        <w:sz w:val="28"/>
        <w:szCs w:val="28"/>
        <w:lang w:val="en-US"/>
      </w:rPr>
      <w:t>)</w:t>
    </w:r>
    <w:r w:rsidR="00167D0E">
      <w:rPr>
        <w:b/>
        <w:sz w:val="28"/>
        <w:szCs w:val="28"/>
        <w:lang w:val="en-US"/>
      </w:rPr>
      <w:t xml:space="preserve">: </w:t>
    </w:r>
    <w:r w:rsidR="00EF18C8">
      <w:rPr>
        <w:b/>
        <w:sz w:val="28"/>
        <w:szCs w:val="28"/>
        <w:lang w:val="en-US"/>
      </w:rPr>
      <w:t xml:space="preserve">5 </w:t>
    </w:r>
    <w:r w:rsidR="00167D0E">
      <w:rPr>
        <w:b/>
        <w:sz w:val="28"/>
        <w:szCs w:val="28"/>
        <w:lang w:val="en-US"/>
      </w:rPr>
      <w:t>DECEMBER</w:t>
    </w:r>
    <w:r w:rsidR="00C136CD" w:rsidRPr="00C74047">
      <w:rPr>
        <w:b/>
        <w:sz w:val="28"/>
        <w:szCs w:val="28"/>
        <w:lang w:val="en-US"/>
      </w:rPr>
      <w:t xml:space="preserve"> 2014</w:t>
    </w:r>
    <w:r w:rsidR="00C74047" w:rsidRPr="00C74047">
      <w:rPr>
        <w:b/>
        <w:sz w:val="28"/>
        <w:szCs w:val="28"/>
        <w:lang w:val="en-US"/>
      </w:rPr>
      <w:t xml:space="preserve"> </w:t>
    </w:r>
  </w:p>
  <w:p w:rsidR="002F3D88" w:rsidRDefault="00197F18" w:rsidP="00197F18">
    <w:pPr>
      <w:pStyle w:val="Header"/>
      <w:tabs>
        <w:tab w:val="left" w:pos="7137"/>
        <w:tab w:val="right" w:pos="9026"/>
      </w:tabs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ab/>
    </w:r>
    <w:r>
      <w:rPr>
        <w:b/>
        <w:sz w:val="28"/>
        <w:szCs w:val="28"/>
        <w:lang w:val="en-US"/>
      </w:rPr>
      <w:tab/>
    </w:r>
    <w:r>
      <w:rPr>
        <w:b/>
        <w:sz w:val="28"/>
        <w:szCs w:val="28"/>
        <w:lang w:val="en-US"/>
      </w:rPr>
      <w:tab/>
    </w:r>
    <w:r w:rsidR="002F3D88">
      <w:rPr>
        <w:b/>
        <w:sz w:val="28"/>
        <w:szCs w:val="28"/>
        <w:lang w:val="en-US"/>
      </w:rPr>
      <w:t xml:space="preserve">(VERSION </w:t>
    </w:r>
    <w:r w:rsidR="004044C8">
      <w:rPr>
        <w:b/>
        <w:sz w:val="28"/>
        <w:szCs w:val="28"/>
        <w:lang w:val="en-US"/>
      </w:rPr>
      <w:t>B1</w:t>
    </w:r>
    <w:r w:rsidR="002F3D88">
      <w:rPr>
        <w:b/>
        <w:sz w:val="28"/>
        <w:szCs w:val="28"/>
        <w:lang w:val="en-US"/>
      </w:rPr>
      <w:t>)</w:t>
    </w:r>
  </w:p>
  <w:p w:rsidR="00BE1140" w:rsidRDefault="00BE11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C2" w:rsidRDefault="00E20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DEE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30311"/>
    <w:multiLevelType w:val="hybridMultilevel"/>
    <w:tmpl w:val="9E2C9168"/>
    <w:lvl w:ilvl="0" w:tplc="0A106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4D7"/>
    <w:multiLevelType w:val="hybridMultilevel"/>
    <w:tmpl w:val="9D4CE3DE"/>
    <w:lvl w:ilvl="0" w:tplc="C73602B0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12123D"/>
    <w:multiLevelType w:val="hybridMultilevel"/>
    <w:tmpl w:val="9D4CE3DE"/>
    <w:lvl w:ilvl="0" w:tplc="C73602B0">
      <w:start w:val="1"/>
      <w:numFmt w:val="lowerLetter"/>
      <w:lvlText w:val="(%1)"/>
      <w:lvlJc w:val="left"/>
      <w:pPr>
        <w:ind w:left="1147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936EDC"/>
    <w:multiLevelType w:val="hybridMultilevel"/>
    <w:tmpl w:val="9E2C9168"/>
    <w:lvl w:ilvl="0" w:tplc="0A106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20745"/>
    <w:multiLevelType w:val="hybridMultilevel"/>
    <w:tmpl w:val="5CFEE35C"/>
    <w:lvl w:ilvl="0" w:tplc="67AE1992">
      <w:start w:val="1"/>
      <w:numFmt w:val="lowerRoman"/>
      <w:lvlText w:val="(%1)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55491ECF"/>
    <w:multiLevelType w:val="hybridMultilevel"/>
    <w:tmpl w:val="39A6ED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E63A5E"/>
    <w:multiLevelType w:val="hybridMultilevel"/>
    <w:tmpl w:val="1A12806E"/>
    <w:lvl w:ilvl="0" w:tplc="7084E524">
      <w:start w:val="1"/>
      <w:numFmt w:val="decimal"/>
      <w:lvlText w:val="(%1)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77"/>
    <w:rsid w:val="00010FB4"/>
    <w:rsid w:val="000179D5"/>
    <w:rsid w:val="000816B8"/>
    <w:rsid w:val="000A5E8F"/>
    <w:rsid w:val="000A742B"/>
    <w:rsid w:val="000C0C85"/>
    <w:rsid w:val="000E7A5E"/>
    <w:rsid w:val="000F19C3"/>
    <w:rsid w:val="000F5BBF"/>
    <w:rsid w:val="00105A4C"/>
    <w:rsid w:val="001062ED"/>
    <w:rsid w:val="00112AD8"/>
    <w:rsid w:val="001202BD"/>
    <w:rsid w:val="00121E62"/>
    <w:rsid w:val="00132D0B"/>
    <w:rsid w:val="00134B5F"/>
    <w:rsid w:val="001606CE"/>
    <w:rsid w:val="00167D0E"/>
    <w:rsid w:val="001950D7"/>
    <w:rsid w:val="00197F18"/>
    <w:rsid w:val="001B39AD"/>
    <w:rsid w:val="001B3DF2"/>
    <w:rsid w:val="001E7EF4"/>
    <w:rsid w:val="001F1677"/>
    <w:rsid w:val="00210D6F"/>
    <w:rsid w:val="00212B7A"/>
    <w:rsid w:val="00221EAF"/>
    <w:rsid w:val="002223A8"/>
    <w:rsid w:val="0023213D"/>
    <w:rsid w:val="00241154"/>
    <w:rsid w:val="002652A6"/>
    <w:rsid w:val="002708D9"/>
    <w:rsid w:val="002917A0"/>
    <w:rsid w:val="002C4504"/>
    <w:rsid w:val="002E759F"/>
    <w:rsid w:val="002F2ABA"/>
    <w:rsid w:val="002F3D88"/>
    <w:rsid w:val="003015EC"/>
    <w:rsid w:val="00347137"/>
    <w:rsid w:val="00383DF0"/>
    <w:rsid w:val="00387495"/>
    <w:rsid w:val="0039506F"/>
    <w:rsid w:val="003B2EC5"/>
    <w:rsid w:val="003B6712"/>
    <w:rsid w:val="003E4930"/>
    <w:rsid w:val="003F14DA"/>
    <w:rsid w:val="003F6C85"/>
    <w:rsid w:val="0040275F"/>
    <w:rsid w:val="004044C8"/>
    <w:rsid w:val="00405EC2"/>
    <w:rsid w:val="004124C2"/>
    <w:rsid w:val="0042353D"/>
    <w:rsid w:val="00492913"/>
    <w:rsid w:val="004942CE"/>
    <w:rsid w:val="0049563D"/>
    <w:rsid w:val="00497CCA"/>
    <w:rsid w:val="004A69BB"/>
    <w:rsid w:val="004B6323"/>
    <w:rsid w:val="004C2BCD"/>
    <w:rsid w:val="004D4CB6"/>
    <w:rsid w:val="004E6051"/>
    <w:rsid w:val="004E6CA7"/>
    <w:rsid w:val="004F58AD"/>
    <w:rsid w:val="00501924"/>
    <w:rsid w:val="0053461E"/>
    <w:rsid w:val="00552784"/>
    <w:rsid w:val="0057154F"/>
    <w:rsid w:val="005B24F4"/>
    <w:rsid w:val="005B2631"/>
    <w:rsid w:val="005F3526"/>
    <w:rsid w:val="005F5821"/>
    <w:rsid w:val="005F7673"/>
    <w:rsid w:val="00606748"/>
    <w:rsid w:val="00614B86"/>
    <w:rsid w:val="006759B5"/>
    <w:rsid w:val="006760F9"/>
    <w:rsid w:val="00680432"/>
    <w:rsid w:val="006946E7"/>
    <w:rsid w:val="00696811"/>
    <w:rsid w:val="006A07C3"/>
    <w:rsid w:val="006A2663"/>
    <w:rsid w:val="006C4B87"/>
    <w:rsid w:val="006E1FDE"/>
    <w:rsid w:val="006F0CA1"/>
    <w:rsid w:val="006F6571"/>
    <w:rsid w:val="00713604"/>
    <w:rsid w:val="00714CA7"/>
    <w:rsid w:val="00715CBF"/>
    <w:rsid w:val="00737DDA"/>
    <w:rsid w:val="00747298"/>
    <w:rsid w:val="00756E98"/>
    <w:rsid w:val="00757287"/>
    <w:rsid w:val="00764DA1"/>
    <w:rsid w:val="00776D0D"/>
    <w:rsid w:val="007C51A7"/>
    <w:rsid w:val="007D34D7"/>
    <w:rsid w:val="007D4182"/>
    <w:rsid w:val="007E7B91"/>
    <w:rsid w:val="0080513A"/>
    <w:rsid w:val="0082284B"/>
    <w:rsid w:val="00840D53"/>
    <w:rsid w:val="00851443"/>
    <w:rsid w:val="00863D75"/>
    <w:rsid w:val="00872EAA"/>
    <w:rsid w:val="00876727"/>
    <w:rsid w:val="00881D38"/>
    <w:rsid w:val="008979EC"/>
    <w:rsid w:val="008A7050"/>
    <w:rsid w:val="008B145C"/>
    <w:rsid w:val="008C4180"/>
    <w:rsid w:val="008D08F5"/>
    <w:rsid w:val="008D3F60"/>
    <w:rsid w:val="00912476"/>
    <w:rsid w:val="00920049"/>
    <w:rsid w:val="00924492"/>
    <w:rsid w:val="00933B12"/>
    <w:rsid w:val="009378E3"/>
    <w:rsid w:val="00942A0E"/>
    <w:rsid w:val="00942EED"/>
    <w:rsid w:val="00945721"/>
    <w:rsid w:val="009509B4"/>
    <w:rsid w:val="00960E76"/>
    <w:rsid w:val="00964FC3"/>
    <w:rsid w:val="00966219"/>
    <w:rsid w:val="009732BA"/>
    <w:rsid w:val="0098599E"/>
    <w:rsid w:val="009A316D"/>
    <w:rsid w:val="009B20B7"/>
    <w:rsid w:val="009C496A"/>
    <w:rsid w:val="009D54A4"/>
    <w:rsid w:val="009D74FA"/>
    <w:rsid w:val="009F2F8F"/>
    <w:rsid w:val="009F79DE"/>
    <w:rsid w:val="00A04FA7"/>
    <w:rsid w:val="00A12FA7"/>
    <w:rsid w:val="00A157A0"/>
    <w:rsid w:val="00A21716"/>
    <w:rsid w:val="00A25FAF"/>
    <w:rsid w:val="00A43117"/>
    <w:rsid w:val="00A43A77"/>
    <w:rsid w:val="00A64426"/>
    <w:rsid w:val="00A66BBB"/>
    <w:rsid w:val="00A71957"/>
    <w:rsid w:val="00A75251"/>
    <w:rsid w:val="00A7599B"/>
    <w:rsid w:val="00A75BAF"/>
    <w:rsid w:val="00A81596"/>
    <w:rsid w:val="00A83456"/>
    <w:rsid w:val="00A837EF"/>
    <w:rsid w:val="00A83D20"/>
    <w:rsid w:val="00AA3DF5"/>
    <w:rsid w:val="00AA7516"/>
    <w:rsid w:val="00AB2E43"/>
    <w:rsid w:val="00AC2F48"/>
    <w:rsid w:val="00AD47F2"/>
    <w:rsid w:val="00AE4B57"/>
    <w:rsid w:val="00B132B6"/>
    <w:rsid w:val="00B1440C"/>
    <w:rsid w:val="00B26CB8"/>
    <w:rsid w:val="00B34F7B"/>
    <w:rsid w:val="00B37594"/>
    <w:rsid w:val="00B44692"/>
    <w:rsid w:val="00B448D1"/>
    <w:rsid w:val="00B7367A"/>
    <w:rsid w:val="00B9194A"/>
    <w:rsid w:val="00BC12D9"/>
    <w:rsid w:val="00BC19F2"/>
    <w:rsid w:val="00BC2956"/>
    <w:rsid w:val="00BD074B"/>
    <w:rsid w:val="00BD7ED5"/>
    <w:rsid w:val="00BE1140"/>
    <w:rsid w:val="00BE571B"/>
    <w:rsid w:val="00BF40F9"/>
    <w:rsid w:val="00BF7778"/>
    <w:rsid w:val="00C136CD"/>
    <w:rsid w:val="00C17503"/>
    <w:rsid w:val="00C417FF"/>
    <w:rsid w:val="00C720B2"/>
    <w:rsid w:val="00C74047"/>
    <w:rsid w:val="00C85A02"/>
    <w:rsid w:val="00CA2193"/>
    <w:rsid w:val="00CA5E62"/>
    <w:rsid w:val="00CB1716"/>
    <w:rsid w:val="00CC10B9"/>
    <w:rsid w:val="00CF12D3"/>
    <w:rsid w:val="00CF42B4"/>
    <w:rsid w:val="00D059C9"/>
    <w:rsid w:val="00D076D3"/>
    <w:rsid w:val="00D12365"/>
    <w:rsid w:val="00D60EC6"/>
    <w:rsid w:val="00D72FE2"/>
    <w:rsid w:val="00D86A39"/>
    <w:rsid w:val="00DA5579"/>
    <w:rsid w:val="00DA5ECF"/>
    <w:rsid w:val="00DA60F4"/>
    <w:rsid w:val="00DB2973"/>
    <w:rsid w:val="00DC41A8"/>
    <w:rsid w:val="00E04D2D"/>
    <w:rsid w:val="00E14D37"/>
    <w:rsid w:val="00E176BE"/>
    <w:rsid w:val="00E17D20"/>
    <w:rsid w:val="00E205C2"/>
    <w:rsid w:val="00E24192"/>
    <w:rsid w:val="00E243FE"/>
    <w:rsid w:val="00E257F2"/>
    <w:rsid w:val="00E304AA"/>
    <w:rsid w:val="00E34D65"/>
    <w:rsid w:val="00E47025"/>
    <w:rsid w:val="00E50FF0"/>
    <w:rsid w:val="00E809DC"/>
    <w:rsid w:val="00E82F2E"/>
    <w:rsid w:val="00E86E48"/>
    <w:rsid w:val="00E91119"/>
    <w:rsid w:val="00E93FA4"/>
    <w:rsid w:val="00EA539E"/>
    <w:rsid w:val="00EB51F1"/>
    <w:rsid w:val="00ED40CD"/>
    <w:rsid w:val="00ED5E8E"/>
    <w:rsid w:val="00EF18C8"/>
    <w:rsid w:val="00F00023"/>
    <w:rsid w:val="00F25463"/>
    <w:rsid w:val="00F36923"/>
    <w:rsid w:val="00F538D2"/>
    <w:rsid w:val="00F53A33"/>
    <w:rsid w:val="00F77097"/>
    <w:rsid w:val="00F92EE4"/>
    <w:rsid w:val="00FA1E8E"/>
    <w:rsid w:val="00FA6FE3"/>
    <w:rsid w:val="00FD6FD5"/>
    <w:rsid w:val="00FE16E6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77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132B6"/>
    <w:pPr>
      <w:spacing w:before="100" w:beforeAutospacing="1" w:after="100" w:afterAutospacing="1" w:line="240" w:lineRule="auto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1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1677"/>
  </w:style>
  <w:style w:type="paragraph" w:styleId="ListParagraph">
    <w:name w:val="List Paragraph"/>
    <w:basedOn w:val="Normal"/>
    <w:uiPriority w:val="72"/>
    <w:qFormat/>
    <w:rsid w:val="002917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32B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32B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132B6"/>
    <w:rPr>
      <w:b/>
      <w:bCs/>
    </w:rPr>
  </w:style>
  <w:style w:type="character" w:customStyle="1" w:styleId="apple-converted-space">
    <w:name w:val="apple-converted-space"/>
    <w:basedOn w:val="DefaultParagraphFont"/>
    <w:rsid w:val="00B132B6"/>
  </w:style>
  <w:style w:type="character" w:styleId="Emphasis">
    <w:name w:val="Emphasis"/>
    <w:basedOn w:val="DefaultParagraphFont"/>
    <w:uiPriority w:val="20"/>
    <w:qFormat/>
    <w:rsid w:val="00B132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B6"/>
    <w:rPr>
      <w:rFonts w:ascii="Lucida Grande" w:eastAsia="Calibri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9194A"/>
    <w:pPr>
      <w:ind w:left="720"/>
      <w:contextualSpacing/>
    </w:pPr>
  </w:style>
  <w:style w:type="paragraph" w:styleId="Revision">
    <w:name w:val="Revision"/>
    <w:hidden/>
    <w:uiPriority w:val="99"/>
    <w:semiHidden/>
    <w:rsid w:val="0049563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B51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1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1F1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F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C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97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9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77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132B6"/>
    <w:pPr>
      <w:spacing w:before="100" w:beforeAutospacing="1" w:after="100" w:afterAutospacing="1" w:line="240" w:lineRule="auto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1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1677"/>
  </w:style>
  <w:style w:type="paragraph" w:styleId="ListParagraph">
    <w:name w:val="List Paragraph"/>
    <w:basedOn w:val="Normal"/>
    <w:uiPriority w:val="72"/>
    <w:qFormat/>
    <w:rsid w:val="002917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32B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32B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132B6"/>
    <w:rPr>
      <w:b/>
      <w:bCs/>
    </w:rPr>
  </w:style>
  <w:style w:type="character" w:customStyle="1" w:styleId="apple-converted-space">
    <w:name w:val="apple-converted-space"/>
    <w:basedOn w:val="DefaultParagraphFont"/>
    <w:rsid w:val="00B132B6"/>
  </w:style>
  <w:style w:type="character" w:styleId="Emphasis">
    <w:name w:val="Emphasis"/>
    <w:basedOn w:val="DefaultParagraphFont"/>
    <w:uiPriority w:val="20"/>
    <w:qFormat/>
    <w:rsid w:val="00B132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B6"/>
    <w:rPr>
      <w:rFonts w:ascii="Lucida Grande" w:eastAsia="Calibri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9194A"/>
    <w:pPr>
      <w:ind w:left="720"/>
      <w:contextualSpacing/>
    </w:pPr>
  </w:style>
  <w:style w:type="paragraph" w:styleId="Revision">
    <w:name w:val="Revision"/>
    <w:hidden/>
    <w:uiPriority w:val="99"/>
    <w:semiHidden/>
    <w:rsid w:val="0049563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B51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1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1F1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F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C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97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BD5A-D27B-4C8B-9F38-F0589176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Ashdown</dc:creator>
  <cp:lastModifiedBy>Natasha Bakirci</cp:lastModifiedBy>
  <cp:revision>4</cp:revision>
  <cp:lastPrinted>2014-12-04T08:12:00Z</cp:lastPrinted>
  <dcterms:created xsi:type="dcterms:W3CDTF">2014-12-17T05:39:00Z</dcterms:created>
  <dcterms:modified xsi:type="dcterms:W3CDTF">2014-12-17T06:31:00Z</dcterms:modified>
</cp:coreProperties>
</file>